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PE.2006.0290 vom 17. Oktober 2006</w:t>
      </w:r>
    </w:p>
    <w:p>
      <w:r>
        <w:t>VD Tribunal cantonal, 2006-10-17, FR</w:t>
      </w:r>
    </w:p>
    <w:p>
      <w:r>
        <w:rPr>
          <w:b/>
        </w:rPr>
        <w:t xml:space="preserve">Quelle: </w:t>
      </w:r>
      <w:r>
        <w:t>https://mcp.opencaselaw.ch/entscheid/vd_omni_PE.2006.0290</w:t>
      </w:r>
    </w:p>
    <w:p>
      <w:r>
        <w:t>FR: VD_OMNI PE.2006.0290 du 17 octobre 2006</w:t>
      </w:r>
    </w:p>
    <w:p>
      <w:r>
        <w:t>IT: VD_OMNI PE.2006.0290 del 17 ottobre 2006</w:t>
      </w:r>
    </w:p>
    <w:p>
      <w:pPr>
        <w:pStyle w:val="Heading2"/>
      </w:pPr>
      <w:r>
        <w:t>Regeste</w:t>
      </w:r>
    </w:p>
    <w:p>
      <w:r>
        <w:t>c/Service de la population (SPOP) | La recourante, ressortissante chinoise, ne peut invoquer son mariage pour obtenir le renouvellement de son autorisation de séjour alors qu'elle vit séparée de son mari depuis 2002 et que la vie commune n'a duré que quelques mois. Abus de droit admis et décision du SPOP confirmée. Recours rejeté.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En vertu de l'art. 7 al. 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w:t>
      </w:r>
    </w:p>
    <w:p>
      <w:r>
        <w:rPr>
          <w:b/>
        </w:rPr>
        <w:t>E. 6</w:t>
      </w:r>
    </w:p>
    <w:p>
      <w:r>
        <w:t>Toutefois, conformément à la doctrine et à la jurisprudence, les droits conférés par l'art. 7 al. 1 LSEE s'éteignent si l'étranger invoque un mariage de façon abusive (cf. Directives et commentaires de l’Office fédéral de l’immigration, de l’intégration et de l’émigration sur l’entrée, le séjour et le marché du travail, abrégé ci-après : Directives, état janvier 2004, chiffre 623.12; cf. ATF 123 II 49, c. 5c; 121 II 97, c. 4; 119 Ib 417, c. 2 et A. Wurzburger, La jurisprudence récente du Tribunal fédéral en matière de police des étrangers, RDAF 1997, p. 273). Ainsi, il y a abus de droit lorsqu'un étranger invoque un mariage n'existant plus que formellement dans le seul but d'obtenir ou de ne pas perdre une autorisation de séjour (ATF 128 II 97 concernant la révocation de la naturalisation; ATF 127 II 49 et 121 II 104).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lorsqu'il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Enfin, les motifs de la séparation ne jouent pas de rôle pour juger de la question de l’abus de droit dans le cadre de l’art. 7 LSEE, seul étant déterminant le point de savoir si une reprise de la vie commune est envisageable de part et d’autre (cf. ATF du 7 avril 2004 2A.17/2004). Ainsi, le tribunal fédéral a jugé qu'on ne saurait admettre de prolonger une autorisation de séjour au seul motif que la fin de la cohabitation pourrait être imputée au conjoint suisse, alors même qu'il n’y aurait aucun espoir de reprise de la vie commune (ATF 2A.17/2004 précité, consid. 4.3).</w:t>
      </w:r>
    </w:p>
    <w:p>
      <w:r>
        <w:rPr>
          <w:b/>
        </w:rPr>
        <w:t>E. 7</w:t>
      </w:r>
    </w:p>
    <w:p>
      <w:r>
        <w:t>En l'occurrence, la recourante admet ne plus faire ménage commun avec son mari depuis l'année 2002 à tout le moins. La vie commune des époux n'aurait duré que quelques mois. Dans son audition du 20 février 2006, le mari de la recourante a déclaré très clairement qu'il n'entendait pas reprendre la vie commune. Ses déclarations sont corroborées par l'action en divorce qu'il a introduite. Un jugement de divorce a déjà été prononcé. S'il est vrai que cette décision n'est pas définitive car la recourante ne s'est pas présentée à l'audience de jugement et a sollicité le relief, il n'apparaît pas moins que cette procédure est purement dilatoire, dans la mesure où le mariage de la recourante et de son mari apparaît à l'évidence vidé de toute substance. C'est dès lors à juste titre que l'autorité intimée a considéré que la recourante invoquait abusivement son mariage pour solliciter un renouvellement de son autorisation de séjour et a refusé de renouveler son autorisation de séjour.</w:t>
      </w:r>
    </w:p>
    <w:p>
      <w:r>
        <w:rPr>
          <w:b/>
        </w:rPr>
        <w:t>E. 8</w:t>
      </w:r>
    </w:p>
    <w:p>
      <w:r>
        <w:t>Par ailleurs, aucun enfant n'est issu du mariage de la recourante et de Y.__________________. La recourante n'a par ailleurs aucune attache familiale avec notre pays et touche au surplus des prestations de l'aide sociale. Elle ne saurait dès lors se prévaloir d'un cas de rigueur au sens des directives ODM (chiffre 654). C'est dès lors à juste titre que l'autorité intimée a révoqué son autorisation de séjour.</w:t>
      </w:r>
    </w:p>
    <w:p>
      <w:r>
        <w:rPr>
          <w:b/>
        </w:rPr>
        <w:t>E. 9</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