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PE.2006.0282 vom 14. Dezember 2006</w:t>
      </w:r>
    </w:p>
    <w:p>
      <w:r>
        <w:t>VD Tribunal cantonal, 2006-12-14, FR</w:t>
      </w:r>
    </w:p>
    <w:p>
      <w:r>
        <w:rPr>
          <w:b/>
        </w:rPr>
        <w:t xml:space="preserve">Quelle: </w:t>
      </w:r>
      <w:r>
        <w:t>https://mcp.opencaselaw.ch/entscheid/vd_omni_PE.2006.0282</w:t>
      </w:r>
    </w:p>
    <w:p>
      <w:r>
        <w:t>FR: VD_OMNI PE.2006.0282 du 14 décembre 2006</w:t>
      </w:r>
    </w:p>
    <w:p>
      <w:r>
        <w:t>IT: VD_OMNI PE.2006.0282 del 14 dicembre 2006</w:t>
      </w:r>
    </w:p>
    <w:p>
      <w:pPr>
        <w:pStyle w:val="Heading2"/>
      </w:pPr>
      <w:r>
        <w:t>Regeste</w:t>
      </w:r>
    </w:p>
    <w:p>
      <w:r>
        <w:t>c/Service de la population (SPOP) | Le recourant, ressortissant sri-lankais, qui vit séparé de son épouse depuis plus de 18 mois et qui n'allègue pas qu'une reprise de la vie commune serait possible, ne peut se prévaloir de son mariage pour obtenir le renouvellement de son permis, sauf à commettre un abus de droit. Recours rejeté</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Il ressort des pièces produites par le conseil de l'épouse du recourant que celle-ci a repris domicile à Thoune le 14 janvier 2005. Cet élément corrobore les déclarations du recourant figurant sur le formulaire de demande de renouvellement de permis du 24 juin 2005, en vertu desquelles les époux vivent séparés depuis cette date à tout le moins. C'est dès lors cette date qui sera retenue comme étant celle à partir de laquelle les époux ne vivent plus sous le même toit. Dès lors, peu importe que le recourant n'ait pas bénéficié des services d'un interprète lors de son audition devant la police, dans la mesure où il avait déjà auparavant spontanément indiqué la date de la séparation sur le formulaire de demande de renouvellement de permis. Les déclarations devant la police ne sont dès lors pas déterminantes. Il apparaît dès lors qu'il serait inutile de faire entendre des témoins sur l'état du lien conjugal, les déclarations du recourant étant claires sur la date à partir de laquelle la vie commune a cessé. Au demeurant, le recourant ne conteste pas avoir des difficultés conjugales et n'allègue pas que la vie conjugale pourrait reprendre dans un futur proche. Par ailleurs, aux dires de son propre conseil, l'épouse du recourant souhaite entamer une procédure de divorce dès que possible. En conséquence, au moment où la décision était prise, les époux vivaient séparés depuis plus d'une année et le recourant n'a pas démontré qu'il existe une quelconque chance de reprise de la vie commune prochainement. Le mariage des époux X._________________ a ainsi perdu toute substance. En conséquence, c'est de manière abusive que le recourant s'en prévaut pour maintenir une autorisation de séjour en Suisse. La décision attaquée est ainsi bien fondée (cf. dans le même sens et en dernier lieu ATF 2A.504/2005 du 12 septembre 2005 et 2A.108/2005 du 28 février 2005; arrêts PE.2006.0578 du 23 novembre 2006; PE.2006.0283 du 12 octobre 2006, PE.2006.0243 du 5 octobre 2006; PE.2003.0389 du 29 juin 2006; PE.2005.0134 du 29 décembre 2005; PE.2004.0585 du 23 mai 2005; PE.2004.0463 du 5 avril 2005). Pour le surplus, le recourant a vécu la majeure partie de sa vie dans son pays d'origine. Il ne séjourne légalement en Suisse que depuis 3 ans. Il s'agit d'une personne jeune et en bonne santé qui pourrait aisément se réintégrer dans son pays d'origine. Enfin, le couple n'a pas d'enfant, de sorte que les conditions posées par les directives de l'ODM pour le maintient de l'autorisation de séjour ne sont pas remplies (voir directives ODM, no 654).</w:t>
      </w:r>
    </w:p>
    <w:p>
      <w:r>
        <w:rPr>
          <w:b/>
        </w:rPr>
        <w:t>E. 3</w:t>
      </w:r>
    </w:p>
    <w:p>
      <w:r>
        <w:t>Le recourant invoque, implicitement à tout le moins, le principe de non-refoullement garantit par l'art. 3 CEDH en faisant état de troubles politiques dans son pays d'origine. Comme le relève à juste titre l'autorité intimée, ce grief ne peut être soulevé à ce stade de la procédure. Il devra l'être devant l'Office fédéral des migrations au moment de l'extension à tout le territoire suisse de la décision de renvoi.</w:t>
      </w:r>
    </w:p>
    <w:p>
      <w:r>
        <w:rPr>
          <w:b/>
        </w:rPr>
        <w:t>E. 4</w:t>
      </w:r>
    </w:p>
    <w:p>
      <w:r>
        <w:t>Le recours doit dès lors être rejeté et la décision attaquée confirmée. Conformément à la pratique nouvellement instaurée, il appartiendra au SPOP de fixer un nouveau délai de départ. Le recourant, qui succombe, n'a pas droit à des dépens et supportera les frais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