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PE.2006.0230 vom 16. August 2006</w:t>
      </w:r>
    </w:p>
    <w:p>
      <w:r>
        <w:t>VD Tribunal cantonal, 2006-08-16, FR</w:t>
      </w:r>
    </w:p>
    <w:p>
      <w:r>
        <w:rPr>
          <w:b/>
        </w:rPr>
        <w:t xml:space="preserve">Quelle: </w:t>
      </w:r>
      <w:r>
        <w:t>https://mcp.opencaselaw.ch/entscheid/vd_omni_PE.2006.0230</w:t>
      </w:r>
    </w:p>
    <w:p>
      <w:r>
        <w:t>FR: VD_OMNI PE.2006.0230 du 16 août 2006</w:t>
      </w:r>
    </w:p>
    <w:p>
      <w:r>
        <w:t>IT: VD_OMNI PE.2006.0230 del 16 agosto 2006</w:t>
      </w:r>
    </w:p>
    <w:p>
      <w:pPr>
        <w:pStyle w:val="Heading2"/>
      </w:pPr>
      <w:r>
        <w:t>Regeste</w:t>
      </w:r>
    </w:p>
    <w:p>
      <w:r>
        <w:t>X./Service de la population (SPOP) | Prolongation de l'autorisation de séjour pour études refusée à un ressortissant du Bangladesh qui a abandonné des études d'hôtellerie à Lucerne pour suivre des cours de français à Lausanne et pour lequel une autorisation de séjour avec activité lucrative a été sollicitée par un établissement public.</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Le recourant demande la délivrance d'une autorisation de séjour pour études, afin de suivre pendant une année les cours de l'école de langues Language Links, à Lausanne. a) L'art. 32 de l'Ordonnance du 6 octobre 1986 limitant le nombre des étrangers (OLE; RS 823.21) prévoit que des autorisations de séjour peuvent être accordées à des étudiants étrangers lorsque :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 connaissances linguistiques suffisantes pour suivre                                              l'enseignement; - e) le requérant prouve qu'il dispose des moyens financiers nécessaires et - f) la sortie de Suisse à la fin du séjour d'études paraît assurée." Ces conditions sont cumulatives; en vertu de l'art. 4 LSEE, le fait d'en réunir la totalité ne justifie pas encore le droit à l'octroi d'une autorisation (ATF 106 Ib 127). Par ailleurs, selon les Directives et commentaires de l'Office fédéral des migrations (anciennement l'IMES) sur l'entrée, le séjour et le marché du travail, spécialement le chiffre 513 (état au 1 er février 2004),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Enfin, l’art. 11 al. 3 de l'Ordonnance du 14 janvier 1998 concernant l'entrée et la déclaration d'arrivée des étrangers (OEArr; RS 142.211) prévoit expressément que l’étranger est lié par les indications qui figurent dans son visa concernant le but de son voyage et de son séjour. En l'espèce, le recourant est entré en Suisse en 2004 au bénéfice d'une autorisation de séjour pour études pour suivre les cours de l'école Bénédict à Lucerne. Après seulement quelques mois d'études, il a décidé de rester à Lausanne où il s'était rendu pour suivre un stage pratique dans le cadre de ses études. Il a justifié son changement d'orientation par le désir de suivre des cours intensifs de français, langue qui lui serait utile dans le domaine de l'hôtellerie, avant de continuer ses études - universitaires ou en institut - sans toutefois préciser dans quel établissement. Or, dans le cas d'un étudiant étranger qui avait abandonné des études hôtelières pour suivre des cours de français avant d’entamer des cours d’hôtellerie dans une autre école, le Tribunal administratif a jugé que la nécessité d’apprendre le français, ressentie par l'intéressé  au cours de son stage, ne justifiait pas une interruption des études en cours pour une formation en français non prévue initialement (v. arrêt PE.2006.0008 du 25 avril 2006 consid. 6). Ayant modifié son plan d'études, le recourant ne remplit dès lors plus la condition découlant de l'art. 32 lit. c OLE. A cela s'ajoute le fait que les cours suivis par l'intéressé sont prévus sur une durée d'une année, soit jusqu'au mois de septembre 2006. Le but du séjour sera donc définitivement atteint dans peu de temps. Au surplus, rien ne justifie la délivrance d'une autorisation de séjour pour des études hôtelières dont ni la nature ni la durée n'ont été précisées. Comme le soutient l'autorité intimée, il est en outre permis de craindre que la sortie de Suisse ne soit pas assurée. Tel est notamment l'avis de la première école dans laquelle le recourant a étudié. En outre, comme on l'a déjà relevé, l'intéressé a émis dans son plan d'études le voeu d'obtenir un bachelor en hôtellerie. Il a toutefois précisé dans une lettre du 4 janvier 2006 au Contrôle des habitants de la commune d'Epalinges qu'il allait retourner dans son pays après avoir terminé ses cours de français. Enfin, X.________ a conclu avec l'intéressé en date du 23 mars 2005 un contrat de travail de durée indéterminée, tout en sollicitant un permis de séjour pour une durée limitée à quatre mois. Compte tenu de ces différents éléments, il convient d'admettre que l'autorité intimée n'a pas abusé de son pouvoir d'appréciation en refusant de délivrer au recourant l'autorisation de séjour sollicitée pour études.</w:t>
      </w:r>
    </w:p>
    <w:p>
      <w:r>
        <w:rPr>
          <w:b/>
        </w:rPr>
        <w:t>E. 6</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