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PE.2006.0216 vom 27. Dezember 2006</w:t>
      </w:r>
    </w:p>
    <w:p>
      <w:r>
        <w:t>VD Tribunal cantonal, 2006-12-27, FR</w:t>
      </w:r>
    </w:p>
    <w:p>
      <w:r>
        <w:rPr>
          <w:b/>
        </w:rPr>
        <w:t xml:space="preserve">Quelle: </w:t>
      </w:r>
      <w:r>
        <w:t>https://mcp.opencaselaw.ch/entscheid/vd_omni_PE.2006.0216</w:t>
      </w:r>
    </w:p>
    <w:p>
      <w:r>
        <w:t>FR: VD_OMNI PE.2006.0216 du 27 décembre 2006</w:t>
      </w:r>
    </w:p>
    <w:p>
      <w:r>
        <w:t>IT: VD_OMNI PE.2006.0216 del 27 dicembre 2006</w:t>
      </w:r>
    </w:p>
    <w:p>
      <w:pPr>
        <w:pStyle w:val="Heading2"/>
      </w:pPr>
      <w:r>
        <w:t>Regeste</w:t>
      </w:r>
    </w:p>
    <w:p>
      <w:r>
        <w:t>c/Service de la population (SPOP) | Recours admis contre le refus d'une autorisation de séjour pour études de français à l'Institut Richelieu. Ressortissant turc âgé de 21 ans, le recourant n'a qu'un diplôme de lycée (donc pas de formation de base), oeuvre dans le tourisme, souhaite apprendre le français comme seconde langue étrangère (après l'anglais) et produit des écrits d'employeurs prêts à l'engager une fois qu'il maîtrisera le français. L'attestation non motivée de l'Ambassade selon laquelle il n'a aucune notion d'anglais ne conduit pas à une autre conclusion.</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Aux termes de l’art. 32 de l’ordonnance du Conseil fédéral limitant le nombre des étrangers du 6 octobre 1986 (OLE), les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LSEE, le fait de réunir la totalité des conditions posées ci-dessus ne justifie pas encore l’octroi d’une autorisation (ATF 106 Ib 127). On notera que le SPOP s'est référé en l'espèce à l'art. 31 OLE concernant les élèves. Le point de savoir si des études de français pour débutants à l'école Richelieu ressortissent à l'art. 31 ou 32 OLE souffre de demeurer indécis, dès lors que les motifs de refus évoqués par l'autorité intimée, relatifs aux connaissances linguistiques, à la teneur du programme d'études et à la sortie de Suisse sont de toute façon également couverts par l'art. 32 OLE.</w:t>
      </w:r>
    </w:p>
    <w:p>
      <w:r>
        <w:rPr>
          <w:b/>
        </w:rPr>
        <w:t>E. 6</w:t>
      </w:r>
    </w:p>
    <w:p>
      <w:r>
        <w:t>Il n'est pas contesté que le recourant ne dispose d'aucune notion de français. Toutefois, la formation prévue consiste précisément à acquérir de telles connaissances. Les cours visés, dispensés par l'Institut Richelieu sont du reste manifestement destinés à des débutants, dans la mesure où cet établissement a attesté de l'aptitude du recourant à les suivre. Dans ces conditions, on ne saurait reprocher au recourant d'ignorer le français (cf. arrêts TA PE.2005.0412 du 17 novembre 2005 et PE.2000.0256 du 4 août 2000). Par ailleurs, les motivations du recourant à suivre les études prévues - d'une durée limitée à une année - sont convaincantes. Agé de 21 ans, il ne dispose d'aucune formation de base (un diplôme de lycée ne pouvant être considéré comme tel). Dès lors qu'il a démontré son intérêt pour le tourisme en oeuvrant pendant quelques années dans des hôtels, il est compréhensible qu'il souhaite acquérir des connaissances du français, dont les avantages pour la poursuite de son activité professionnelle sont manifestes. Du reste, ces éléments sont confirmés notamment par un ancien employeur, qui précise qu'il pourra lui offrir un poste dès la fin de ses études. La seule attestation non motivée de l'Ambassade selon laquelle le recourant n'aurait aucune connaissance de l'anglais - contrairement à ce qu'indiquent les diplômes produits -, ne constitue pas un indice suffisant pour craindre que les études linguistiques alléguées ne soient en fait qu'un prétexte pour venir en Suisse à d'autres fins et tenter d'y demeurer.</w:t>
      </w:r>
    </w:p>
    <w:p>
      <w:r>
        <w:rPr>
          <w:b/>
        </w:rPr>
        <w:t>E. 7</w:t>
      </w:r>
    </w:p>
    <w:p>
      <w:r>
        <w:t>On peut enfin reconnaître que le recourant dispose des moyens financiers nécessaires au vu de l'attestation de prise en charge signée par son oncle maternel ainsi que du salaire mensuel net de celui-ci, qui s'élève environ à 4'650 fr.</w:t>
      </w:r>
    </w:p>
    <w:p>
      <w:r>
        <w:rPr>
          <w:b/>
        </w:rPr>
        <w:t>E. 8</w:t>
      </w:r>
    </w:p>
    <w:p>
      <w:r>
        <w:t>Il résulte des considérants qui précèdent que le recours doit être admis, la décision attaquée annulée et le dossier retourné à l'autorité intimée pour nouvelle décision au sens des considérants. Le recourant, qui a consulté un avocat, a droit à l’allocation de dépens. Compte tenu de l'issue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