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PE.2006.0189 vom 27. Oktober 2006</w:t>
      </w:r>
    </w:p>
    <w:p>
      <w:r>
        <w:t>VD Tribunal cantonal, 2006-10-27, FR</w:t>
      </w:r>
    </w:p>
    <w:p>
      <w:r>
        <w:rPr>
          <w:b/>
        </w:rPr>
        <w:t xml:space="preserve">Quelle: </w:t>
      </w:r>
      <w:r>
        <w:t>https://mcp.opencaselaw.ch/entscheid/vd_omni_PE.2006.0189</w:t>
      </w:r>
    </w:p>
    <w:p>
      <w:r>
        <w:t>FR: VD_OMNI PE.2006.0189 du 27 octobre 2006</w:t>
      </w:r>
    </w:p>
    <w:p>
      <w:r>
        <w:t>IT: VD_OMNI PE.2006.0189 del 27 ottobre 2006</w:t>
      </w:r>
    </w:p>
    <w:p>
      <w:pPr>
        <w:pStyle w:val="Heading2"/>
      </w:pPr>
      <w:r>
        <w:t>Regeste</w:t>
      </w:r>
    </w:p>
    <w:p>
      <w:r>
        <w:t>A., B., C. et D./Service de la population (SPOP) | Conditions d'un cas de rigueur selon l'art. 13 lettre f OLE, l'art. 36 OLE et le ch. 654 des Directives; dans les trois situations, les critères relatifs à l'art. 13 lettre OLE s'appliquent (consid. 6). Lorsqu'une famille réclame le bénéfice l'art. 13 lettre f OLE, la situation de chacun de ses membres ne doit pas être considérée isolément mais en relation avec le contexte familial global (consid. 7a). Selon le TF, le recours durable à l'assistance publique ne suffit pas en soi à exclure un cas de rigueur; le point de savoir s'il en va de même dans le canton de Vaud peut rester indécis en l'espèce (loc. cit.).</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lettre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En vertu de l’article 38 de l’ordonnance limitant le nombre des étrangers (OLE ; RS 823.21), la police cantonale des étrangers peut cependant autoriser l’étranger (titulaire d’une simple autorisation de séjour) à faire venir en Suisse son conjoint. Il n'est pas contesté en l'espèce que la recourante et ses enfants ont bénéficié d'une autorisation de séjour au titre du regroupement familial avec leur mari et père. Ce dernier étant retourné dans son pays et la séparation du couple ayant été prononcée, les prénommés ne peuvent plus se prévaloir de l'art. 38 OLE. Il reste à examiner s'ils remplissent les conditions d'un cas de rigueur.</w:t>
      </w:r>
    </w:p>
    <w:p>
      <w:r>
        <w:rPr>
          <w:b/>
        </w:rPr>
        <w:t>E. 6</w:t>
      </w:r>
    </w:p>
    <w:p>
      <w:r>
        <w:t>a) D'après l'art. 13 lettre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 ODM) est seul compétent pour autoriser une exception aux mesures de limitation du nombre des étrangers conformément à l'art. 52 lettre a OLE. Selon la jurisprudence du Tribunal administratif,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consid. 1c, JT 1995 I 240; cf. également arrêts TA PE.2005.0597 du 18 janvier 2006, PE.2004.0398 du 7 février 2005).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 ATF 130 II 39 consid. 3 p. 41/42 et la jurisprudence citée). Cela étant, selon la jurisprudence du Tribunal administratif, l'art. 13 lettre f OLE figure au chapitre 2 de la loi intitulé " Etrangers exerçant une activité lucrative ". Par définition, l'application de cette disposition suppose par conséquent que l'étranger concerné exerce une telle activité (v. arrêts TA PE.2005.0264 du 27 avril 2006 consid. 2; Alain Wurzburger, La jurisprudence récente du Tribunal fédéral en matière de police des étrangers, RDAF 1997 I p. 267 ss, spéc. p. 291). b)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lettre f OLE, dans des situations où l’étranger peut faire valoir qu’il se trouve dans une situation personnelle d’extrême gravité, pour autant qu’il n’envisage pas d’activité lucrative dans notre pays. Dans un tel cas, les critères développés en application de l'art. 13 lettre f OLE s’appliquent par analogie. c) Enfin, lorsqu'il s'agit d'un conjoint étranger dont le divorce ou la dissolution de la communauté conjugale entraîne en principe la perte de l'autorisation de séjour, les mêmes directives prévoient, toujours dans le but d'éviter des situations d'extrême rigueur, qu'il peut néanmoins obtenir à certaines conditions le renouvellement de son autorisation de séjour, et cela sans imputation sur le contingent (chiffre 654).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Le Tribunal administratif a rappelé que lorsqu'un examen est effectué au regard des conditions prévues au chiffre 654, il s'agit en fait de permettre au conjoint séparé d'échapper, cas échéant, à une situation d'extrême gravité, but qui se confond pratiquement avec celui visé par l'art. 13 lettre f OLE. Les critères à examiner sont par conséquent similaires (v. notamment arrêts PE.2005.0385 du 23 mars 2006 consid. 6a).</w:t>
      </w:r>
    </w:p>
    <w:p>
      <w:r>
        <w:rPr>
          <w:b/>
        </w:rPr>
        <w:t>E. 7</w:t>
      </w:r>
    </w:p>
    <w:p>
      <w:r>
        <w:t>En l'espèce, il s'agit d'examiner si un renvoi de la recourante et de trois de ses enfants, qui séjournent en Suisse depuis six ans, les placerait dans un cas de rigueur. a) Aucun des quatre intéressés n'exerçant d'activité lucrative, l'art. 13 lettre f OLE ne trouve pas application. Il en va de même du ch. 654 des Directives, dès lors qu'il n'est plus question d'un regroupement familial. Le présent litige ressortit par conséquent à l'art. 36 OLE exclusivement et, par analogie, aux critères développés à l'aune de l'art. 13 lettre f OLE. Sur ce dernier point, la jurisprudence précise que, lorsqu'une famille réclame le bénéfice l'art. 13 lettre f OLE,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etc.; cf. ATF 123 II 125 consid. 4a p. 129). Encore faut-il préciser que, dans ce contexte, la notion de famille se limite normalement aux parents et aux enfants mineurs. On ajoutera encore que, selon la jurisprudence du Tribunal fédéral relative à l'art. 13 lettre f OLE, le recours durable à l'assistance publique au sens de l'art. 10 al. 1 lettre d LSEE ne suffit pas en soi à exclure l'admission d'un cas de rigueur, mais constitue l'un des critères à prendre en considération. Cela étant, il est vrai que les cantons demeurent libres de prévoir des conditions plus restrictives, notamment lorsque les intéressés bénéficient déjà d'une admission provisoire. La question de savoir si la réalisation des conditions de l'art. 10 al. 1 lettre d LSEE suffit dans le canton de Vaud à exclure un cas de rigueur peut toutefois rester indécise en l'espèce, les recourants ne réalisant de toute façon pas un cas de détresse personnelle. b) S'agissant de l'intégration socio-professionnelle de la mère dans le pays d'accueil, il convient d'admettre qu'elle n'a guère fait d'efforts à cet égard, ne commençant à suivre des cours de français - comme cela résulte des pièces au dossier - qu'en 2006. Elle n'a pas tenté non plus de contribuer aux besoins de la famille en exerçant une quelconque activité lucrative, pas même après le départ du père. Toute la famille se trouve totalement à la charge des services sociaux (le montant de l'aide versée au 16 mai 2006 étant déjà de 82'897 francs 30). Or, la recourante n'allègue pas vouloir prendre un emploi, pas plus qu'elle n'explique en quoi elle serait empêchée de le faire, ce qui laisse songeur. En outre, elle n'exclut pas un retour au pays une fois que ses enfants auront terminé leur scolarité obligatoire. Quant à ses affirmations relatives aux actes violents et à l'emprisonnement prétendus de son mari, elles ne peuvent être tenues pour avérées dans la mesure où elles ont été formulées au dernier stade de la procédure, de surcroît sans être étayées par une quelconque pièce. La recourante ne se situe donc pas dans un cas de rigueur. L'examen de la situation des enfants ne conduit pas à une autre solution. Agés respectivement de neuf ans et onze ans et demi, D.________ et C.________ sont arrivés en Suisse à l'âge de trois ans et cinq ans et demi. Ils ont donc passé l'essentiel de leur existence dans notre pays, où ils fréquentent, semble-t-il, la 2ème et la 5ème année primaire. Toutefois, ils n'ont pas encore atteint un âge où un retour dans leur pays d'origine - dont ils connaissent la langue par leur mère - leur causerait un véritable déracinement. Il est vrai que l'aînée, B.________, est dans une position plus délicate. Aujourd'hui âgée de 17 ans et demi, elle a passé toute son adolescence en Suisse, période essentielle du développement personnel, scolaire et professionnel, entraînant une intégration accrue dans un milieu déterminé. Elle a de surcroît réussi à s'adapter au système scolaire suisse, en dépit des difficultés de langue, si bien qu'un renvoi dans son pays d'origine pourrait équivaloir pour elle à un véritable déracinement, constitutif d'un cas d'extrême gravité (cf. ATF 123 II 125 consid. 4). Quoi qu'il en soit, sa seule situation ne permet pas d'accorder à l'ensemble de la famille - entièrement à la charge des services sociaux - une autorisation de séjour pour cas de rigueur. On relèvera par ailleurs que B.________ a très vraisemblablement terminé en Suisse sa scolarité obligatoire (dans la mesure où elle fréquentait la 9ème en mars 2006), conformément aux voeux de sa mère. c) Compte tenu de l'ensemble des circonstances, les arguments invoqués à l'appui du recours ne sauraient être retenus et les recourants ne peuvent prétendre au renouvellement de leur autorisation de séjour en raison d'un cas de rigueur. Le SPOP n'a donc pas abusé de son pouvoir d'appréciation en refusant de prolonger les autorisations en cause.</w:t>
      </w:r>
    </w:p>
    <w:p>
      <w:r>
        <w:rPr>
          <w:b/>
        </w:rPr>
        <w:t>E. 8</w:t>
      </w:r>
    </w:p>
    <w:p>
      <w:r>
        <w:t>Il résulte des considérants qui précèdent que le recours doit être rejeté et la décision querellée confirmée. Compte tenu de la situation financière des recourants, les frais sont laissés à la charge de l'Etat. L'autorité intimée fixera un nouveau délai de départ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