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PE.2006.0172 vom 25. Oktober 2006</w:t>
      </w:r>
    </w:p>
    <w:p>
      <w:r>
        <w:t>VD Tribunal cantonal, 2006-10-25, FR</w:t>
      </w:r>
    </w:p>
    <w:p>
      <w:r>
        <w:rPr>
          <w:b/>
        </w:rPr>
        <w:t xml:space="preserve">Quelle: </w:t>
      </w:r>
      <w:r>
        <w:t>https://mcp.opencaselaw.ch/entscheid/vd_omni_PE.2006.0172</w:t>
      </w:r>
    </w:p>
    <w:p>
      <w:r>
        <w:t>FR: VD_OMNI PE.2006.0172 du 25 octobre 2006</w:t>
      </w:r>
    </w:p>
    <w:p>
      <w:r>
        <w:t>IT: VD_OMNI PE.2006.0172 del 25 ottobre 2006</w:t>
      </w:r>
    </w:p>
    <w:p>
      <w:pPr>
        <w:pStyle w:val="Heading2"/>
      </w:pPr>
      <w:r>
        <w:t>Regeste</w:t>
      </w:r>
    </w:p>
    <w:p>
      <w:r>
        <w:t>X./Service de la population (SPOP) | Le mariage a duré quinze mois. Des mesures protectrices de l'union conjugale ont été ordonnées après quatre mois de mariage déjà. Une procédure de divorce a été engagée. Aucun enfant n'est né du mariage. Les époux vivent séparés depuis deux ans et aucune perspective de reprise de la vie commune ne peut être envisagée. Le mariage est vidé de sa substance. Il est abusif de s'en prévaloir pour demander une autorisation de séjour. Pas de cas de rigueur en l'occurrence.</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123 II 49 consid. 5c et d p. 52-54; 121 II 97 consid. 4 p. 103/104, et les arrêts cités). c)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d) Le recourant a vécu avec Y.________ de mai 2003 à août 2004, soit quinze mois. Des mesures protectrices de l’union conjugale a été rendues le 18 juin 2004, soit quatre mois à peine après la célébration du mariage, la séparation effective est intervenue six semaines plus tard. Aucun enfant n’est né de cette union. Les époux ne vivent plus sous le même toit depuis plus de deux ans. Une union aussi brève, suivie d’une séparation aussi longue, n’ouvre guère de perspective de la réconciliation espérée dans un premier temps par Y.________, laquelle s’est résolue ultérieurement à engager la procédure de divorce. Eu égard à ces circonstances, le SPOP pouvait admettre, sans mésuser de son pouvoir d’appréciation, que le mariage a perdu toute substance. Conséquemment, c’est de manière abusive que le recourant s’en prévaut pour obtenir la prolongation de son autorisation de séjour. La décision attaquée est ainsi bien fondée (cf. dans le même sens : ATF 2A.504/2005 du 12 septembre 2005; 2A.108/2005 du 28 février 2005; 2A.71/2005 du 7 février 2005; arrêts PE.2006.0243 du 5 octobre 2006; PE.2005.0579 du 26 janvier 2006; PE.2003.0513 du 7 janvier 2005). e) Le recourant réside en Suisse depuis plus de quatre ans. Sans qualifications professionnelles particulières, il occupe un emploi de portier d’hôtel qui n’impose pas qu’il reste en Suisse. Il vit seul, sans attaches particulières, sentimentales, sociales, culturelles, récréatives ou sportives. Sa famille vit au Togo et au Gabon, y compris sa fille. Pour le surplus, il s’agit d’un homme jeune et en bonne santé. Aucune circonstance d’un cas de rigueur n’est réalisée en l’espèce, qui s’opposerait à ce qu’il doive quitter la Suisse et regagner son pays d’origine (cf. arrêts PE.2006.0243, précité, et PE.2005.0159 du 6 juin 2006).</w:t>
      </w:r>
    </w:p>
    <w:p>
      <w:r>
        <w:rPr>
          <w:b/>
        </w:rPr>
        <w:t>E. 3</w:t>
      </w:r>
    </w:p>
    <w:p>
      <w:r>
        <w:t>Le recours doit ainsi être rejeté et la décision attaquée confirmée. Conformément à la pratique nouvellement instaurée (cf. arrêt PE.2005.0159 du 6 juin 2006), il appartiendra au SPOP de fixer un nouveau délai de départ. Les frais sont mis à la charge du recourant (art. 55 LJPA).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