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PE.2006.0169 vom 30. April 2007</w:t>
      </w:r>
    </w:p>
    <w:p>
      <w:r>
        <w:t>VD Tribunal cantonal, 2007-04-30, FR</w:t>
      </w:r>
    </w:p>
    <w:p>
      <w:r>
        <w:rPr>
          <w:b/>
        </w:rPr>
        <w:t xml:space="preserve">Quelle: </w:t>
      </w:r>
      <w:r>
        <w:t>https://mcp.opencaselaw.ch/entscheid/vd_omni_PE.2006.0169</w:t>
      </w:r>
    </w:p>
    <w:p>
      <w:r>
        <w:t>FR: VD_OMNI PE.2006.0169 du 30 avril 2007</w:t>
      </w:r>
    </w:p>
    <w:p>
      <w:r>
        <w:t>IT: VD_OMNI PE.2006.0169 del 30 aprile 2007</w:t>
      </w:r>
    </w:p>
    <w:p>
      <w:pPr>
        <w:pStyle w:val="Heading2"/>
      </w:pPr>
      <w:r>
        <w:t>Regeste</w:t>
      </w:r>
    </w:p>
    <w:p>
      <w:r>
        <w:t>X /Service de la population (SPOP) | Confirmation de la décision du SPOP de refuser la prolongation de l'autorisation de séjour d'une ressortissante du Maroc, obtenue par mariage. Union vidée de toute substance, par la faute du conjoint suisse, avant l'échéance du délai de cinq ans de l'art. 7 al. 1 LSEE. Les critères de la directive 654 ODM ne sont pas favorables à la recourante.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Bien qu’elle mentionne le refus de délivrer une autorisation de séjour, la décision entreprise constitue en fait un refus de renouveler ou de prolonger l’autorisation de séjour délivrée à la recourante à la suite de son mariage avec un ressortissant suisse. a) Selon l’art. 7 al. 1 LSEE, le conjoint étranger d’un ressortissant suisse à droit à l’octroi et à la prolongation de l’autorisation de séjour ; après un séjour régulier et ininterrompu de cinq ans, il a droit à l’autorisation d’établissement ; ce droit s’éteint lorsqu’il existe un motif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128 II 145 consid. 2.1 p. 151 ; 127 II 49 consid. 5a p. 56 ; 121 II 97 consid. 4a p. 103). b) Il y a abus de droit notamment lorsqu’une institution juridique est utilisée à l’encontre de son but pour réaliser des intérêts que cette institution juridique ne veut pas protéger (ATF 130 II 113 consid. 4.2 p. 117 et les arrêts cités). L’existence d’un éventuel abus de droit doit être apprécié dans chaque cas particulier et avec retenue, seul l’abus de droit manifeste pouvant être pris en considération (ATF 121 II 97 consid. 4a p. 103). L’existence d’un abus de droit ne peut en particulier être simplement déduite de ce que les époux ne vivent plus ensemble, puisque le législateur a volontairement renoncé à faire dépendre le droit à une autorisation de séjour de la vie commune (cf. ATF 118 lb 145 consid. 3 p. 149 ss.). Pour admettre l’existence d’un abus de droit, il ne suffit pas non plus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Les causes et les motifs de la rupture ne jouent pas de rôle (ATF 132 II 113, du 22 novembre 2005 ; ATF 130 II consid. 4.2 p. 117 et les arrêts cités). Pour admettre l’abus de droit, il y a lieu de se fonder sur des éléments concrets indiquant que les époux ne veulent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(cf. ATF 127 II 49 consid. 5a p. 57). c) En l’espèce, le Tribunal retient que les époux XY._____________ se sont séparés un an après leur mariage. Les causes de la désunion conjugale semblent devoir être imputées au mari de la recourante qui adopte comportement violent et irrespectueux à l’égard de son entourage lorsqu’il est pris de boisson. En dépit du penchant pour l’alcool qui affecte chroniquement le comportement de son époux et le rend à certaines occasions violent, la recourante a néanmoins tenté de dialoguer avec lui afin reprendre la vie conjugale. Elle n’a essuyé que des refus. L’espoir de réconciliation que caresse la recourante semble à tout le moins compromis par l’attitude de son mari et ses accès de violence dont sa famille a fait les frais. Quoi qu’il en soit, les refus réitérés qu’a essuyés la recourante laissent à penser que la substance du mariage est désormais inexistante. Bien qu’elle soit toujours formellement mariée, son époux n’ayant pas renouvelé la demande unilatérale en divorce après un premier rejet de son action, il y a lieu de considérer que les relations entre époux se sont irrémédiablement dégradées au point qu’il se justifie de considérer que la vie commune ne reprendra plus. Dans de telles circonstances, la recourante ne peut plus invoquer, sauf à commettre un abus de droit, les liens du mariage pour prétendre au maintien de son autorisation de séjour acquise exclusivement en raison de son union avec un ressortissant suisse. Cette situation étant survenue avant l’échéance du délai de 5 ans de l’art. 7 al. 1 LSEE, la recourante ne peut pas non plus prétendre à l’octroi d’une autorisation d’établissement.</w:t>
      </w:r>
    </w:p>
    <w:p>
      <w:r>
        <w:rPr>
          <w:b/>
        </w:rPr>
        <w:t>E. 4</w:t>
      </w:r>
    </w:p>
    <w:p>
      <w:r>
        <w:t>Il reste à déterminer si la recourante peut être maintenue au bénéfice de son autorisation de séjour en dépit de sa situation conjugale. a) A cet égard, les directives de l’Office fédéral des migrations prévoient ce qui suit (ch. 654) : «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 b) En l’occurrence, la durée du séjour de la recourante en Suisse peut être qualifiée de moyenne. Elle n’a pas fait état d’attaches particulièrement étroites en Suisse et aucun enfant n’est issu de son union avec Y.___________________. En revanche, son fils, dont elle a obtenu la garde, est demeuré au Maroc. Sur le plan professionnel, sa situation est stable, son employeur ayant indiqué qu’il était satisfait de son travail. Son salaire mensuel net n’est toutefois que de fr. 2’521.40, selon les dernières indications qu’elle a transmises au Tribunal administratif. Le comportement de la recourante n’a jamais donné lieu à des plaintes. Elle ne peut pas se prévaloir d'une réussite professionnelle particulière et n’a pas démontré qu’elle se serait particulièrement bien intégrée au tissu social de son lieu de séjour. Comme cela vient d’être exposé ci-dessus, les causes de la désunion semblent exclusivement imputables au comportement de son époux. A l’instar de l’autorité intimée, force est de constater que la recourante a conservé des attaches familiales plus étroites avec son pays d’origine, le Maroc, où son fils est demeuré, qu’avec la Suisse. Cette constatation est d’ailleurs corroborée par les déclarations de la recourante à la police de Lutry du 29 juillet 2003 qui a indiqué à cette occasion qu’elle était prête à rentrer au Maroc pour le cas où son époux ne voudrait plus d’elle. A cela s’ajoute que la recourante réalise un salaire mensuel net modeste qui ne la mettrait pas à l’abri de devoir recourir à l’assistance sociale dans l'hypothèse, qu'elle a évoquée, de la venue de son fils en Suisse. A l’évidence, la recourante ne se trouverait pas dans une situation de détresse personnelle en cas de retour dans son pays d’origine.</w:t>
      </w:r>
    </w:p>
    <w:p>
      <w:r>
        <w:rPr>
          <w:b/>
        </w:rPr>
        <w:t>E. 5</w:t>
      </w:r>
    </w:p>
    <w:p>
      <w:r>
        <w:t>Vu ce qui précède, le recours doit être rejeté et la décision entreprise maintenue. Succombant, la recourante doit supporter les frais judiciaires et n'a pas droit à des dépens. Il appartiendra au SPOP de lui fixer un nouveau délai pour quitter le territoire vaudois et de s’assurer de son départ. Cas échéant, la recourante pourra requérir, en temps voulu, les autorisations de séjour de courte durée qui seraient justifiées par une procédure de divorce.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