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PE.2006.0158 vom 21. November 2006</w:t>
      </w:r>
    </w:p>
    <w:p>
      <w:r>
        <w:t>VD Tribunal cantonal, 2006-11-21, FR</w:t>
      </w:r>
    </w:p>
    <w:p>
      <w:r>
        <w:rPr>
          <w:b/>
        </w:rPr>
        <w:t xml:space="preserve">Quelle: </w:t>
      </w:r>
      <w:r>
        <w:t>https://mcp.opencaselaw.ch/entscheid/vd_omni_PE.2006.0158</w:t>
      </w:r>
    </w:p>
    <w:p>
      <w:r>
        <w:t>FR: VD_OMNI PE.2006.0158 du 21 novembre 2006</w:t>
      </w:r>
    </w:p>
    <w:p>
      <w:r>
        <w:t>IT: VD_OMNI PE.2006.0158 del 21 novembre 2006</w:t>
      </w:r>
    </w:p>
    <w:p>
      <w:pPr>
        <w:pStyle w:val="Heading2"/>
      </w:pPr>
      <w:r>
        <w:t>Regeste</w:t>
      </w:r>
    </w:p>
    <w:p>
      <w:r>
        <w:t>X.______________, Y._________________/Service de la population (SPOP) | Ne peut prétendre à un regroupement familial différé l'enfant étranger d'une ressortissante suisse, âgé de plus de 17 ans, qui a toujours vécu dans son pays d'origine auprès de son frère et de sa grand-mère maternelle. Malgré un séjour de quelques années de sa mère en Afrique, cette dernière est revenue en Suisse sans lui et a attendu quelque quatre ans pour déposer une telle demande. La demande paraît essentiellement motivée par des raisons économiques.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 A la suite de l'entrée en vigueur le 1 er juin 2002 des Accords bilatéraux entre la Suisse, d'une part, et la Communauté européenne et ses Etats membres, d'autre part, sur la libre circulation des personnes (ci-après : ALCP), la législation en matière de police des étrangers a été modifiée, notamment en matière de regroupement familial. L'art. 3 al.1 er bis litt. a nouveau de l'Ordonnance du Conseil fédéral du 6 octobre 1986 limitant le nombre des étrangers (ci-après OLE) prévoit désormais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b)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des migrations (ci-après ODM; anciennement IMES)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d'un citoyen suisse. En l'absence d'une telle autorisation de séjour durable, l'admission est soumise à la LSEE ou à l'OLE (cf. Circulaire ch. 5 p.</w:t>
      </w:r>
    </w:p>
    <w:p>
      <w:r>
        <w:rPr>
          <w:b/>
        </w:rPr>
        <w:t>E. 7</w:t>
      </w:r>
    </w:p>
    <w:p>
      <w:r>
        <w:t>En l'occurrence, et comme rappelé ci-dessus, Y.__________________, né le 2 février 1989, est l'enfant étranger d'une ressortissante suisse. Sa mère a obtenu la nationalité suisse par mariage en 1990, soit après sa naissance. A cet égard, il y a lieu de préciser que si tant est que Y.__________________ aurait pu à cette époque être compris dans la demande de sa mère, circonstance qui n'est en soi pas démontrée, mais qui peut être laissée ouverte dans le cadre du présent litige, c'était à sa mère de se renseigner auprès des autorités compétentes et de déposer une demande dans ce sens. En l'état, l'intéressé a seulement la nationalité ghanéenne et ce n'est que le 7 février 2006, alors qu'il était âgé de 17 ans révolus, que sa mère a présenté une demande de regroupement familial. Au regard des directives évoquées ci-dessus, l'intéressé a le droit de se prévaloir de l'art. 17 al. 2 LSEE appliqué par analogie, pour autant que les conditions d'un regroupement familial différé soient réunies. a) Selon la jurisprudence du Tribunal fédéral relative à l'art. 17 al. 2 LSEE, le but du regroupement familial est de permettre que la vie commune soit vécue de manière effective. D'après le texte et sa ratio legis , cette règle est prévue et ne s'applique directement que dans les cas où les parents de l'enfant vivent ensemble. Elle doit en revanche être appliquée de manière plus restrictive lorsque les parents sont séparés ou divorcés (ATF 129 II 11 consid. 3 et 126 II 329). Il en va de même lorsque les parents ne sont pas mariés. Les restrictions dont fait l'objet l'art. 17 LSEE s'appliquent par analogie à l'art. 8 CEDH. En effet, si cette disposition peut faire obstacle, dans certaines circonstances, à une mesure d'éloignement qui empêche ou rend très difficile le maintien de la vie familiale, elle n'octroie en revanche pas de droit absolu d'entrée ou de séjour en Suisse aux membres de la famille (ATF 125 II 633, consid. 3a et ATF 124 II 361 consid. 3a). Un droit au regroupement familial fondé sur cette disposition présuppose que l'enfant entretienne la relation familiale la plus étroite avec le parent résidant en Suisse et que le regroupement s'avère nécessaire à son entretien (ATF 124 II 361 précité; ATF 125 II 585 et 633 précités, consid. 2a et c respectivement 3a). b) Pour juger de la réalisation de cette double condition, il ne faut pas se fonder uniquement sur des faits passés, mais prendre en considération l'évolution future des circonstances. La question de savoir dans quel pays se trouve le centre des intérêts de l'enfant n'est pas déterminante, sinon leur droit au regroupement familial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précité, consid. 2a; 124 II 361 précité, consid. 3a; 122 II 385, consid. 4b et l'arrêt précité).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arrêt susmentionné). c) En l'espèce, Y.__________________ a toujours vécu dans son pays d'origine, tout d'abord auprès de sa grand-mère maternelle qui avait elle même un enfant du même âge que lui, puis entre 1996 et 1999, auprès de sa mère. Cette dernière demeurait toutefois secondée par la grand-mère ainsi que par l'oncle de l'enfant. Lors du retour de sa mère en Suisse en 1999, Y.__________________ ne l'a pas accompagnée mais est demeuré avec son frère auprès de sa famille. A cet égard, X.__________________ expose que sa situation financière était précaire, que ce n'est que grâce à son remariage en octobre 2003 que sa situation se serait stabilisée et qu'enfin la préposée du bureau des étrangers de la commune de 1.*************** l'aurait mal renseignée. Force est toutefois de constater que la recourante s'est remariée en 2003, soit quelque 4 ans après son retour en Suisse, et qu'elle a encore attendu plus de deux ans et demi avant de déposer une demande de regroupement familial au nom de son fils. Il ne ressort en outre d'aucune pièce du dossier que Y.__________________ aurait effectué des séjours touristiques autorisés dans notre pays. Par ailleurs et quelles qu'aient pu être les informations données par la préposée du bureau des étrangers de la commune de 1.***************, elles sont sans incidence pour trancher le présent litige. Il y a lieu en effet d'admettre au vu de l'ensemble des circonstances évoquées ci-dessus que malgré le décès de sa grand-mère, l'enfant a conservé des relations prépondérantes avec les membres de sa famille qui résident dans son pays d'origine, en l'occurrence un frère, un oncle et, à tous le moins encore un fils de sa grand-mère décédée. De plus, il apparaît, au vu de son âge, que la demande de regroupement familial apparaît essentiellement motivée par des raisons économiques. Le recourant, proche de la majorité, est en effet en âge de débuter une formation professionnelle qui pourrait manifestement lui assurer un avenir économique meilleur que celui qui semble être le sien dans son pays d'origine. Constitutive d'un abus de droit, une telle démarche doit être rejetée.</w:t>
      </w:r>
    </w:p>
    <w:p>
      <w:r>
        <w:rPr>
          <w:b/>
        </w:rPr>
        <w:t>E. 8</w:t>
      </w:r>
    </w:p>
    <w:p>
      <w:r>
        <w:t>En conclusion, l'autorité intimée n'a ni violé le droit, ni excédé, ni abusé de son pouvoir d'appréciation en refusant le regroupement familial sollicité. Le recours doit par conséquent être rejeté et la décision confirmée. Vu l'issue du pourvoi, les frais du présent arrêt seront mis à la charge des recourants déboutés, qui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