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PE.2006.0152 vom 24. August 2006</w:t>
      </w:r>
    </w:p>
    <w:p>
      <w:r>
        <w:t>VD Tribunal cantonal, 2006-08-24, FR</w:t>
      </w:r>
    </w:p>
    <w:p>
      <w:r>
        <w:rPr>
          <w:b/>
        </w:rPr>
        <w:t xml:space="preserve">Quelle: </w:t>
      </w:r>
      <w:r>
        <w:t>https://mcp.opencaselaw.ch/entscheid/vd_omni_PE.2006.0152</w:t>
      </w:r>
    </w:p>
    <w:p>
      <w:r>
        <w:t>FR: VD_OMNI PE.2006.0152 du 24 août 2006</w:t>
      </w:r>
    </w:p>
    <w:p>
      <w:r>
        <w:t>IT: VD_OMNI PE.2006.0152 del 24 agosto 2006</w:t>
      </w:r>
    </w:p>
    <w:p>
      <w:pPr>
        <w:pStyle w:val="Heading2"/>
      </w:pPr>
      <w:r>
        <w:t>Regeste</w:t>
      </w:r>
    </w:p>
    <w:p>
      <w:r>
        <w:t>c/Service de l'emploi Office cantonal de la main-d'oeuvre, Service de la population | Depuis l'entrée en vigueur le 1er avril 2006 du Protocole du 26 octobre 2004 à l'ALCP, les travailleurs ressortissants des 10 pays concernés (hormis Chypre et Malte, soit 8)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 On notera encore que les autorisations de courte durée, inférieures à une année, n'échappent pas au principe de priorité précité.</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10 pays concernés (hormis Chypre et Malte, soit 8)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 c) En l'espèce, la recourante entend requérir une autorisation de séjour et de travail pour une durée indéterminée en faveur d'une ressortissante de Pologne. Or, elle ne démontre pas avoir procédé à des recherches préalables sur le marché indigène de l'emploi (cf. art. 7 al. 4 OLE). Au contraire, il découle du dossier qu'elle a d'emblée renoncé à de telles recherches. On peut du reste relever avec l'autorité intimée qu'il n'est pas exclu que le montant de la rémunération offerte soit lié au recrutement d'un travailleur ressortissant de l'un des nouveaux Etats membres de la Communauté européenne, personne en outre choisie par la recourante pour des questions évidentes de commodités. Par ailleurs, la conclusion de la recourante tendant à l'octroi d'un permis "L" qu'il soit inférieur ou supérieur à quatre mois, doit également être écartée, dès lors que ces autorisations n'échappent de toute façon pas au principe de la priorité des travailleurs indigènes. En conséquence, le refus de l'OCMP doit être maintenu sur la base du Protocole à l'Accord sur la libre circulation des personnes incluant la République de Pologne dans la Communauté européenne et ses Etats membres.</w:t>
      </w:r>
    </w:p>
    <w:p>
      <w:r>
        <w:rPr>
          <w:b/>
        </w:rPr>
        <w:t>E. 2</w:t>
      </w:r>
    </w:p>
    <w:p>
      <w:r>
        <w:t>Les considérants qui précèdent conduisent au rejet du recours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