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PE.2006.0142 vom 28. Dezember 2006</w:t>
      </w:r>
    </w:p>
    <w:p>
      <w:r>
        <w:t>VD Tribunal cantonal, 2006-12-28, FR</w:t>
      </w:r>
    </w:p>
    <w:p>
      <w:r>
        <w:rPr>
          <w:b/>
        </w:rPr>
        <w:t xml:space="preserve">Quelle: </w:t>
      </w:r>
      <w:r>
        <w:t>https://mcp.opencaselaw.ch/entscheid/vd_omni_PE.2006.0142</w:t>
      </w:r>
    </w:p>
    <w:p>
      <w:r>
        <w:t>FR: VD_OMNI PE.2006.0142 du 28 décembre 2006</w:t>
      </w:r>
    </w:p>
    <w:p>
      <w:r>
        <w:t>IT: VD_OMNI PE.2006.0142 del 28 dicembre 2006</w:t>
      </w:r>
    </w:p>
    <w:p>
      <w:pPr>
        <w:pStyle w:val="Heading2"/>
      </w:pPr>
      <w:r>
        <w:t>Regeste</w:t>
      </w:r>
    </w:p>
    <w:p>
      <w:r>
        <w:t>X. c/Service de la population (SPOP) | Refus d'autoriser le retour en Suisse du recourant, interdit d'entrée à la suite de plusieurs condamnations, dont l'une à trois ans de réclusion pour infraction grave à la LStup. Que les faits remontent à dix et treize ans et que le recourant ait épousé une Suissesse dont il a eu un enfant n'y change rien.</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PE.2006.0383 du 9 novembre 2006, PE.2005.0313 du 8 novembre 2006). Si le conjoint suisse connaît, au moment du mariage, l’existence de motifs propres à amener l’autorité à refuser à son conjoint l’octroi d’une autorisation, il ne peut pas exclure de devoir vivre sa vie de couple à l’étranger (ATF 116 Ib 353 consid. 3 e et f p. 358-360; arrêt PE.2006.0313, précité). d) En l’occurrence, le recourant a été condamné, le 30 novembre 1993, à une peine de trois ans de réclusion pour un trafic portant sur 600g d’héroïne. Cela ne l’a pas empêché de récidiver, ce qui lui a valu une peine complémentaire de deux mois d’emprisonnement, selon le jugement du 14 janvier 1997. Sa peine purgée, le recourant a quitté la Suisse en août 1998. Au moment où elle a épousé le recourant, Y.________ savait qu’il était sous le coup d’une interdiction d’entrée en Suisse pour une durée indéterminée; elle en connaissait les raisons. Personne ne prétend le contraire, au demeurant. Eu égard à la sévérité dont fait preuve la jurisprudence relative à des délits en rapport avec le trafic de stupéfiants et à la quotité de la peine infligée au recourant, celui-ci et son épouse ne pouvaient se faire aucune illusion quant à la possibilité d’obtenir le droit de mener leur vie familiale en Suisse. Que les faits remontent à treize ou dix ans n’y change rien. Durant son séjour en sur le territoire national, de 1988 à 1998, le recourant a fait globalement preuve d’un mépris des lois qui justifiait non seulement son éloignement, mais également le refus de son retour en Suisse. Pour le surplus, il convient de tenir compte de ce que Y.________ est originaire des Balkans, comme son mari, qu’elle parle le serbe, langue dans laquelle est également élevé leur fils Z.________. On peut comprendre la douleur de la famille de vivre séparée, mais cet obstacle peut être levé par un regroupement familial en Serbie plutôt qu’en Suisse. On ne saurait en tout cas dire qu’en décidant comme il l’a fait, le SPOP ait abusé ou mésusé de son pouvoir d’appréciation.</w:t>
      </w:r>
    </w:p>
    <w:p>
      <w:r>
        <w:rPr>
          <w:b/>
        </w:rPr>
        <w:t>E. 3</w:t>
      </w:r>
    </w:p>
    <w:p>
      <w:r>
        <w:t>Le recours doit ainsi être rejeté, et la décision attaquée confirmée, aux frais de son auteur;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