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PE.2006.0123 vom 24. Oktober 2006</w:t>
      </w:r>
    </w:p>
    <w:p>
      <w:r>
        <w:t>VD Tribunal cantonal, 2006-10-24, FR</w:t>
      </w:r>
    </w:p>
    <w:p>
      <w:r>
        <w:rPr>
          <w:b/>
        </w:rPr>
        <w:t xml:space="preserve">Quelle: </w:t>
      </w:r>
      <w:r>
        <w:t>https://mcp.opencaselaw.ch/entscheid/vd_omni_PE.2006.0123</w:t>
      </w:r>
    </w:p>
    <w:p>
      <w:r>
        <w:t>FR: VD_OMNI PE.2006.0123 du 24 octobre 2006</w:t>
      </w:r>
    </w:p>
    <w:p>
      <w:r>
        <w:t>IT: VD_OMNI PE.2006.0123 del 24 ottobre 2006</w:t>
      </w:r>
    </w:p>
    <w:p>
      <w:pPr>
        <w:pStyle w:val="Heading2"/>
      </w:pPr>
      <w:r>
        <w:t>Regeste</w:t>
      </w:r>
    </w:p>
    <w:p>
      <w:r>
        <w:t>X./Service de la population (SPOP) | Le mariage a duré deux ans et huit mois. Le couple, resté sans enfant, semble définitivement séparé. Une procédure de divorce est engagée et aucun indice ne permet de penser qu'une réconciliation serait possible. Le mariage est vidé de toute substance. Pas de cas de rigueur.</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[En l’occurrence, la recourante ne peut se prévaloir d’un tel droit, qu’elle n’invoque pas, au demeurant]. b) Le conjoint d'un étranger qui possède l'autorisation d'établissement a droit à l'autorisation de séjour aussi longtemps que les époux vivent ensemble (art. 17 al. 2 LSEE). Le ménage commun est donc une condition sine qua non pour reconnaître au conjoint d'un étranger titulaire d'un permis le droit de se voir délivrer une autorisation de séjour. L’art.</w:t>
      </w:r>
    </w:p>
    <w:p>
      <w:r>
        <w:rPr>
          <w:b/>
        </w:rPr>
        <w:t>E. 7</w:t>
      </w:r>
    </w:p>
    <w:p>
      <w:r>
        <w:t>al. 2 LSEE précise toutefois que le conjoint étranger d’un ressortissant suisse n’a pas droit à l’octroi et à la prolongation de l’autorisation de séjour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123 II 49 consid. 5c et d p. 52-54; 121 II 97 consid. 4 p. 103/104, et les arrêts cités). Les mêmes règles s’appliquent aux droits découlant de l’art. 17 al. 2 LSEE. c) Seul un abus manifeste peut être pris en considération; son existence éventuelle doit être appréciée au regard de chaque cas particulier et avec retenue (ATF 121 II 97 consid. 4 p. 103/104). Il y a abus de droit lorsque le conjoint étranger invoque un mariage n'existant plus que formellement dans le seul but d'obtenir ou de conserver une autorisation de séjour (ATF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La recourante n’a vécu avec B. X.________ guère plus de deux ans et huit mois. Aucun enfant n’est né de leur union. Le 19 décembre 2004, B. X.________ a mis son épouse à la porte, selon les propres termes de celle-ci. Depuis cette date, les époux ne vivent plus sous le même toit. B. X.________ a engagé une procédure de divorce. Même si la recourante a déclaré toujours aimer son mari et espérer le reconquérir, B. X.________ a exclu cette perspective, au motif que nonobstant l’origine, la langue et la religion communes, il régnait entre les époux des différences insurmontables de mentalité, que B. X.________ a expliqué par le fait que, contrairement à son épouse, il avait grandi en Suisse où il est arrivé encore enfant. Dans son mémoire complémentaire, la recourante reproche à son mari son caractère volage, qui l’aurait conduit à vivre avec une autre femme. Bien que non déterminant, cet élément montre bien que la séparation est complète – et tout espoir de réconciliation, vain. Ainsi, eu égard à l’ensemble des circonstances de la cause, le SPOP pouvait, sans mésuser de son pouvoir d’appréciation, considérer que le mariage de la recourante a perdu toute substance. Conséquemment, c’est de manière abusive qu’elle l’invoque pour obtenir une autorisation de séjour en Suisse. La décision attaquée est ainsi bien fondée (cf. dans le même sens: ATF 2A.504/2005 du 12 septembre 2005; 2A.108/2005 du 28 février 2005; 2A.71/2005 du 7 février 2005; arrêts PE.2006.0243 du 5 octobre 2006; PE.2005.0579 du 26 janvier 2006; PE.2003.0513 du 7 janvier 2005). e) La recourante réside en Suisse depuis près de trois ans. Sans qualifications professionnelles, elle occupe un emploi de blanchisseuse qui ne requiert pas sa présence en Suisse. S’il n’y a apparemment rien à redire quant à son comportement général, il faut tenir compte du fait qu’elle n’a pas d’enfant, qu’elle vit séparée de son époux depuis près de deux ans, et qu’elle n’a aucune attache particulière avec la Suisse. Pour le surplus, il s’agit d’une femme jeune et en bonne santé. Aucune circonstance d’un cas de rigueur n’est ainsi réalisée en l’espèce, qui s’opposerait à ce qu’elle doive quitter la Suisse et regagner son pays d’origine (cf. arrêt PE.2006.0243, précité, PE.2005.0159 du 6 juin 2006). 3. Le recours doit ainsi être rejeté et la décision attaquée confirmée. Conformément à la pratique nouvellement instaurée (cf. arrêt PE.2005.0159, précité), il appartiendra au SPOP de fixer un nouveau délai de départ. Les frais sont mis à la charge de la recourante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