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PE.2006.0117 vom 11. April 2007</w:t>
      </w:r>
    </w:p>
    <w:p>
      <w:r>
        <w:t>VD Tribunal cantonal, 2007-04-11, FR</w:t>
      </w:r>
    </w:p>
    <w:p>
      <w:r>
        <w:rPr>
          <w:b/>
        </w:rPr>
        <w:t xml:space="preserve">Quelle: </w:t>
      </w:r>
      <w:r>
        <w:t>https://mcp.opencaselaw.ch/entscheid/vd_omni_PE.2006.0117</w:t>
      </w:r>
    </w:p>
    <w:p>
      <w:r>
        <w:t>FR: VD_OMNI PE.2006.0117 du 11 avril 2007</w:t>
      </w:r>
    </w:p>
    <w:p>
      <w:r>
        <w:t>IT: VD_OMNI PE.2006.0117 del 11 aprile 2007</w:t>
      </w:r>
    </w:p>
    <w:p>
      <w:pPr>
        <w:pStyle w:val="Heading2"/>
      </w:pPr>
      <w:r>
        <w:t>Regeste</w:t>
      </w:r>
    </w:p>
    <w:p>
      <w:r>
        <w:t>X. c/Service de la population (SPOP) | Révocation de l'autorisation de séjour de la recourante qui ne vit plus avec son mari suisse et qui invoque abusivement cette union. Les violences conjugales dénoncées par l'épouse se sont soldées par un non-lieu et ne sont dès lors pas constitutives d'un cas de rigueur. La recourante peut défendre ses intérêts dans la procédure civile pendante depuis l'étranger. Décision de renvoi confirmée.</w:t>
      </w:r>
    </w:p>
    <w:p>
      <w:pPr>
        <w:pStyle w:val="Heading2"/>
      </w:pPr>
      <w:r>
        <w:t>Erwägungen</w:t>
      </w:r>
    </w:p>
    <w:p>
      <w:r>
        <w:rPr>
          <w:b/>
        </w:rPr>
        <w:t>E. 1</w:t>
      </w:r>
    </w:p>
    <w:p>
      <w:r>
        <w:t>Selon l’art. 7 alinéa 1 de la loi fédérale sur le séjour et l’établissement des étrangers (LSEE ; RS 142.20), le conjoint étranger d’un ressortissant suisse a le droit à l’octroi et à la prolongation de l’autorisation de séjour. Après un séjour régulier et ininterrompu de cinq ans, il a droit à une autorisation d’établissement, sous réserve notamment de l’existence d’un abus de droit. Selon la jurisprudence, il y a abus de droit lorsque le conjoint étranger invoque un mariage n’existant plus que formellement dans le seul but d’obtenir une autorisation de police des étrangers, car ce but n’est pas protégé par l’article 7 alinéa 1 LSEE. Tel est le cas lorsque l’union conjugale est définitivement rompue, c’est-à-dire lorsqu’il n’y a plus aucun espoir de réconciliation ;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 Il faut constater qu’en tant que la décision attaquée révoque le permis de séjour de la recourante, elle n’a plus d’objet dès lors que ce permis, valable jusqu’au 24 juillet 2006, est venu à échéance dans l’intervalle. Dans la mesure où la décision dont est recours impartit un délai de départ à la recourante, elle n’est pas sans objet. Le renvoi ainsi ordonné doit être compris en l’état comme un refus de renouvellement de ses conditions de séjour. En conséquence, il y a lieu d’examiner son bien-fondé sous cet angle au regard de l’art. 7 al. 1 LSEE, par économie de procédure.</w:t>
      </w:r>
    </w:p>
    <w:p>
      <w:r>
        <w:rPr>
          <w:b/>
        </w:rPr>
        <w:t>E. 2</w:t>
      </w:r>
    </w:p>
    <w:p>
      <w:r>
        <w:t>En l’espèce, les époux ont cessé définitivement de vivre ensemble au mois de mai 2005 et n’ont pas repris la vie commune à ce jour. Depuis lors, le mari de la recourante a ouvert action en annulation de mariage, subsidairement en divorce. Contrairement à ce que plaide la recourante, les circonstances ayant amené les époux à se séparer importent peu dès lors qu’il n’est pas établi que la recourante aurait été victime de graves violences conjugales constitutives d’un cas de rigueur au sens des directives de l’Office fédéral des migrations (ODM), chiffre 654, citées au considérant suivant (v. ordonnance de non-lieu, pièce no 4). En l’état, il faut constater que le mariage des époux, qui n’est plus vécu depuis presque deux ans à l’heure où le tribunal statue, est dépourvu de toute substance. Aucun élément au dossier ne permet de croire à un possible rapprochement des conjoints qui sont désormais opposés dans une procédure civile. La recourante elle-même n’allègue rien de tel. Elle demande à pouvoir rester en Suisse uniquement pour défendre ses intérêts devant le tribunal saisi par son mari. Dans ces circonstances, le mariage de la recourante avec un ressortissant suisse se limite à un lien purement formel et est invoqué abusivement par celle-ci.</w:t>
      </w:r>
    </w:p>
    <w:p>
      <w:r>
        <w:rPr>
          <w:b/>
        </w:rPr>
        <w:t>E. 3</w:t>
      </w:r>
    </w:p>
    <w:p>
      <w:r>
        <w:t>Les directives de l'Office fédéral des migration prévoient à leur chiffre ch.654 ce qui suit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En l’espèce, la recourante a vécu moins de deux ans auprès de son mari, de 19 ans son aîné, dont elle n’a pas eu d’enfant. Elle ne dispose pas de qualifications professionnelles particulières et n’est pas au bénéfice d’une situation professionnelle stable. Elle conserve toutes ses attaches familiales à l’étranger. La recourante fait valoir sur la base du certificat produit par l’Ambassade de la République de Cuba à Berne qu’elle se trouve dans une situation d’émigrante n’ayant pas de domicile permanent dans son pays d’origine. Elle en déduit qu’elle ne pourrait pas rentrer à Cuba dès lors que son visa a expiré. A ce stade de la procédure, ce moyen n’a pas à être tranché dès lors que le renvoi se limite au territoire cantonal et devra être examiné au besoin par l’ODM au moment de la décision d’extension de la décision cantonale de renvoi. Quoi qu’il en soit, selon la jurisprudence, la recourante n’est pas privée de défendre ses droits dans le cadre de la procédure civile pendante. En effet, la défense de ses intérêts dans ce cadre peut en effet être assurée par l'intermédiaire de son mandataire en l'étude duquel elle peut élire domicile. Pour le surplus, et si sa présence en Suisse devait être indispensable à l'occasion d'une audience, il lui suffirait de solliciter un sauf-conduit à cette fin (TA, arrêt PE.2003.0128 du 29 septembre 2004). Compte tenu de l’ensemble des circonstances, la décision attaquée ne procède pas d’un abus du pouvoir d’appréciation du SPOP. Elle doit être confirmée.</w:t>
      </w:r>
    </w:p>
    <w:p>
      <w:r>
        <w:rPr>
          <w:b/>
        </w:rPr>
        <w:t>E. 4</w:t>
      </w:r>
    </w:p>
    <w:p>
      <w:r>
        <w:t>Les considérants qui précèdent conduisent au rejet du recours aux frais de la recourante qui succombe et qui, vu l’issue de son pourvoi, n’a pas droit à l’allocation de dépens.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