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PE.2006.0057 vom 16. Mai 2006</w:t>
      </w:r>
    </w:p>
    <w:p>
      <w:r>
        <w:t>VD Tribunal cantonal, 2006-05-16, FR</w:t>
      </w:r>
    </w:p>
    <w:p>
      <w:r>
        <w:rPr>
          <w:b/>
        </w:rPr>
        <w:t xml:space="preserve">Quelle: </w:t>
      </w:r>
      <w:r>
        <w:t>https://mcp.opencaselaw.ch/entscheid/vd_omni_PE.2006.0057</w:t>
      </w:r>
    </w:p>
    <w:p>
      <w:r>
        <w:t>FR: VD_OMNI PE.2006.0057 du 16 mai 2006</w:t>
      </w:r>
    </w:p>
    <w:p>
      <w:r>
        <w:t>IT: VD_OMNI PE.2006.0057 del 16 maggio 2006</w:t>
      </w:r>
    </w:p>
    <w:p>
      <w:pPr>
        <w:pStyle w:val="Heading2"/>
      </w:pPr>
      <w:r>
        <w:t>Regeste</w:t>
      </w:r>
    </w:p>
    <w:p>
      <w:r>
        <w:t>X._______________/Service de la population (SPOP) | Confirmation du refus d'accorder une autorisation de séjour à l'époux étranger d'une Suissesse. L'époux ne réussit pas à démontrer que le lien conjugal n'a pas perdu de sa substance. En particulier, il n'a déposé aucune déclaration de sa conjointe propre à étayer ce fait, alors qu'une telle pièce, expressément requise, est pour le moins aisée à obtenir d'une épouse désireuse de préserver son union.</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w:t>
      </w:r>
    </w:p>
    <w:p>
      <w:r>
        <w:rPr>
          <w:b/>
        </w:rPr>
        <w:t>E. 5</w:t>
      </w:r>
    </w:p>
    <w:p>
      <w:r>
        <w:t>Le recourant s'oppose au refus d’une autorisation de séjour au motif que son union avec une ressortissante suisse serait intacte. a) L'art. 7 al. 1 LSEE prévoit que le conjoint étranger d'un ressortissant suisse a droit à l'octroi et à la prolongation de l'autorisation de séjour. Après un séjour régulier et ininterrompu de cinq ans, il a droit à l'autorisation d'établissement. Ce droit s'éteint lorsqu'il existe un motif d'expulsion. A l'alinéa 2, il est précisé que ce droit n'existe pas lorsque le mariage a été contracté dans le but d'éluder les dispositions sur le séjour et l'établissement des étrangers, notamment celles sur la limitation du nombre des étrangers. D'après la jurisprudence, invoquer l'art. 7 al. 1 LSEE en vue d’obtenir une autorisation de séjour peut en outre constituer un abus de droit lorsque le mariage n'existe plus que formellement. Tel est le cas lorsque l'union conjugale est définitivement rompue, sans perspective de rétablissement. L'existence d'un tel abus ne doit pas être admise trop facilement. Elle ne peut en particulier être déduite de l'ouverture d'une procédure de divorce - ou de mesures protectrices de l'union conjugale -, ni du fait que les époux ne vivent plus ensemble. C'est précisément pour soustraire le conjoint étranger à l'arbitraire de son époux suisse que le législateur a renoncé à subordonner le droit à l'autorisation de séjour à la condition du ménage commun. Des indices clairs doivent démontrer que la poursuite de la vie conjugale n'est plus envisagée et qu'il n'existe plus de perspective à cet égard (art. 114 CC ; ATF 131 II 265 consid. 4.2; 130 II 113 consid. 4.2; 128 II 145 consid. 2.2 et les arrêts cités). b) En l’espèce, le recourant s’est marié le 14 janvier 2005 et s’est installé avec son épouse à 1.*************. Le 1 er juillet 2005 déjà, il a annoncé son départ pour Lausanne. Selon les pièces de septembre 2005 du dossier du canton du Tessin, les conjoints étaient alors séparés, l’épouse vivant à une autre adresse à 1.*************, avec un autre homme. Ces indices dénotent, même sans retenir l’hypothèse - non exclue - d’un mariage de complaisance, que l’union s’est définitivement rompue après environ six mois de vie commune. Or, rien ne permet d’infirmer cette constatation. Certes, le recourant allègue que le lien conjugal demeurerait inaltéré, seules des considérations pratiques empêchant son épouse de le rejoindre à Lausanne. Déjà peu convaincantes en elles-mêmes, ces explications perdent cependant toute crédibilité dans la mesure où le recourant n’a déposé aucune déclaration de sa conjointe propre à les étayer, alors qu’une telle pièce, expressément requise, est pour le moins aisée à obtenir d’une épouse désireuse de préserver son union. Force est ainsi de retenir que le mariage du recourant est vidé de sa substance, à supposer qu’il en ait eu. En s’en prévalant pour obtenir une autorisation de séjour dans le canton de Vaud, le recourant abuse pour le moins du droit conféré par l’art. 7 al. 1 LSEE. La décision attaquée doit dès lors être confirmée.</w:t>
      </w:r>
    </w:p>
    <w:p>
      <w:r>
        <w:rPr>
          <w:b/>
        </w:rPr>
        <w:t>E. 6</w:t>
      </w:r>
    </w:p>
    <w:p>
      <w:r>
        <w:t>Mal fondé, le recours doit être rejeté aux frais de son auteur qui succombe et qui, vu l’issue de son pourvoi, n’a pas droit à l’allocation de dépens. Suite à une séance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