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PE.2006.0027 vom 29. Dezember 2006</w:t>
      </w:r>
    </w:p>
    <w:p>
      <w:r>
        <w:t>VD Tribunal cantonal, 2006-12-29, FR</w:t>
      </w:r>
    </w:p>
    <w:p>
      <w:r>
        <w:rPr>
          <w:b/>
        </w:rPr>
        <w:t xml:space="preserve">Quelle: </w:t>
      </w:r>
      <w:r>
        <w:t>https://mcp.opencaselaw.ch/entscheid/vd_omni_PE.2006.0027</w:t>
      </w:r>
    </w:p>
    <w:p>
      <w:r>
        <w:t>FR: VD_OMNI PE.2006.0027 du 29 décembre 2006</w:t>
      </w:r>
    </w:p>
    <w:p>
      <w:r>
        <w:t>IT: VD_OMNI PE.2006.0027 del 29 dicembre 2006</w:t>
      </w:r>
    </w:p>
    <w:p>
      <w:pPr>
        <w:pStyle w:val="Heading2"/>
      </w:pPr>
      <w:r>
        <w:t>Regeste</w:t>
      </w:r>
    </w:p>
    <w:p>
      <w:r>
        <w:t>X/Service de la population (SPOP) | Recours rejeté en matière d'autorisation de séjour pour études; la recourante souhaite effectuer un doctorat en gestion d'entreprise à l'Université de Neuchâtel; le principe de la territorialité s'oppose à l'octroi d'une autorisation de séjour, aucune des conditions posées dans la directive du SPOP du 31 juillet 1998 n'étant réalisée; au surplus, la recourante a terminé avec succès la formation projetée à son arrivée en Suisse; le but de son séjour est donc atteint. En outre, elle est âgée de plus de trente ans et il convient de privilégier les jeunes étudiants qui ont un intérêt immédiat à obtenir une formation. Enfin, le doctorat envisagé n'est pas un complément indispensable à sa formation et elle se trouve en Suisse depuis plus de cinq ans, de sorte qu'au terme de son doctorat, sa sortie de Suisse ne paraîtra plus assurée.</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L’art. 8 al. 1 LSEE stipule que les autorisations de séjour ou d’établissement ne sont valables que pour le canton qui les a délivrées (principe de la territorialité des autorisations). L’art. 14 al. 1 du règlement d’exécution de la LSEE du 1 er mars 1949 (RSEE) précise pour sa part que l’étranger ne peut avoir en même temps une autorisation de séjour ou d’établissement dans plus d’un canton. Cette disposition confirme ainsi le principe de l'unicité de l'autorisation. Le Tribunal administratif a notamment rappelé en 1998 (TA PE 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 1996.0792 du 25 février 1997, PE 1995.0875 du 15 mai 1996, PE 1995.0898 du 19 avril 1996 et PE 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 1997.0527 déjà cité). Cependant, à la suite de l'arrêt du 5 février 1998, le SPOP a examiné la question de l'application du principe de territorialité, après avoir notamment consulté certains cantons romands (FR, GE et NE).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notamment dans l'arrêt TA PE 2000.0059 du 9 octobre 2000. b) En l’espèce, la recourante effectue un doctorat en gestion d’entreprise à l’Université de Neuchâtel alors qu’elle séjourne dans le canton de Vaud et qu’elle désire y rester. Elle ne se prévaut pas de l’une ou de l’autre des conditions posées dans la directive du SPOP. Elle soutient seulement qu’elle ne verrait son maître de thèse que de manière irrégulière, en particulier dans la phase de préparation du sujet. Dans ces conditions, le tribunal constate que le principe de la territorialité s’oppose à l’octroi d’une autorisation de séjour pour études dans le canton de Vaud en faveur de la recourante. Par ailleurs, comme on le verra ci-après, le recours aurait de toute manière pu être rejeté pour d’autres motifs.</w:t>
      </w:r>
    </w:p>
    <w:p>
      <w:r>
        <w:rPr>
          <w:b/>
        </w:rPr>
        <w:t>E. 2</w:t>
      </w:r>
    </w:p>
    <w:p>
      <w:r>
        <w:t>a)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Il faut préciser que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Toutefois, le Tribunal administratif applique le critère de l'âge de manière retenue en tenant compte de l'ensemble des circonstances (cf. par exemple arrêt TA 2001/0497 du 29 mai 2002 et les réf. cit.). b) Les directives LSEE de l'Office fédéral des migrations précisent que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(chiffre 513). Selon la jurisprudence,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ou qu'il n'a obtenu aucun résultat probant pendant plus de cinq ans (arrêt TA PE 2003/0301 du 12 janvier 2004). c) En l’espèce, la recourante a terminé avec succès la formation projetée à son arrivée en Suisse. Il est vrai qu’elle a connu des épreuves personnelles au cours de ces études, mais il n’en demeure pas moins que le but de son séjour est atteint. Par ailleurs, il faut relever que la recourante est âgée de plus de trente ans et qu’il convient de privilégier les jeunes étudiants qui ont un intérêt immédiat à obtenir une formation. En outre, le doctorat envisagé n’est pas un complément indispensable à sa formation. Enfin, la recourante se trouve en Suisse depuis plus de cinq ans, de sorte qu’au terme de son doctorat, sa sortie de Suisse ne paraîtra plus assurée. Ces questions peuvent toutefois demeurer ouvertes, puisque le principe de la territorialité est un motif suffisant de rejet du recours.</w:t>
      </w:r>
    </w:p>
    <w:p>
      <w:r>
        <w:rPr>
          <w:b/>
        </w:rPr>
        <w:t>E. 3</w:t>
      </w:r>
    </w:p>
    <w:p>
      <w:r>
        <w:t>Il résulte des considérants qui précèdent que le recours doit être rejeté et la décision attaquée maintenue. Au vu de ce résultat, un émolument de justice sera mis à la charge de la recourante qui n’a pas droit à des dépens (art. 55 LJPA). Le SPOP est chargé de fixer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