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PE.2006.0021 vom 19. Mai 2006</w:t>
      </w:r>
    </w:p>
    <w:p>
      <w:r>
        <w:t>VD Tribunal cantonal, 2006-05-19, FR</w:t>
      </w:r>
    </w:p>
    <w:p>
      <w:r>
        <w:rPr>
          <w:b/>
        </w:rPr>
        <w:t xml:space="preserve">Quelle: </w:t>
      </w:r>
      <w:r>
        <w:t>https://mcp.opencaselaw.ch/entscheid/vd_omni_PE.2006.0021</w:t>
      </w:r>
    </w:p>
    <w:p>
      <w:r>
        <w:t>FR: VD_OMNI PE.2006.0021 du 19 mai 2006</w:t>
      </w:r>
    </w:p>
    <w:p>
      <w:r>
        <w:t>IT: VD_OMNI PE.2006.0021 del 19 maggio 2006</w:t>
      </w:r>
    </w:p>
    <w:p>
      <w:pPr>
        <w:pStyle w:val="Heading2"/>
      </w:pPr>
      <w:r>
        <w:t>Regeste</w:t>
      </w:r>
    </w:p>
    <w:p>
      <w:r>
        <w:t>X._______________/Service de l'emploi Office cantonal de la main-d'oeuvre, Service de la population (SPOP) | Blocage des autorisations de main d'oeuvre étrangère. Exposé détaillé de la casuistique. Une sanction de 12 mois après une première sanction de 6 mois est ici excessive dans la mesure où l'infraction commise concerne un seul travailleur, non clandestin; de plus, la première sanction n'indiquait pas qu'une récidive dans un délai d'une année entraînerait le doublement de la sanction. Admission partielle, durée ramenée à 9 mois.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L'art. 31 al. 1 LJPA prévoit que le recours s'exerce par acte écrit dans les vingt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a) 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Indépendamment de la sanction pénale, prévue à l'art. 23 al. 4 LSEE, l'employeur s'expose à une sanction administrative, soit en l'occurrence celle aménagée par l'art. 55 de l'Ordonnance du 6 octobre 1986 limitant le nombre des étrangers (OLE; RS 823.21), aux al. 1 et 2 : " ¹ Si un employeur enfreint à plusieurs reprises ou gravement les prescriptions du droit                     des étrangers, l'Office cantonal de l'emploi rejettera totalement ou partiellement ses                    demandes, indépendamment de la procédure pénale. ² L'Office cantonal de l'emploi peut également mettre en garde le contrevenant par                                          sommation écrite, sous menace d'application des sanctions." Les Directives de l’IMES, actuellement l'ODM, consacrent le chiffre 487 aux dispositions pénales et aux sanctions (art. 54 et 55 OLE) et rappellent notamment ce qui suit :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 b) Le Tribunal administratif a rappelé la nécessité pour l'autorité d'adresser à l'entreprise un avertissement écrit, intitulé sommation selon la terminologie de l’art. 55 OLE, concernant les sanctions qu'elle encourt, surtout s'il s'agit d'une première infraction ou d'une infraction mineure, avant que ne soit prononcé à son encontre un blocage des autorisations. Il a jugé que le principe de la proportionnalité était violé en l'absence de sommation préalable (v. PE.2005.0416 du 28 mars 2006 consid. 4, PE.2005.0434 du 25 avril 2006 consid. 5). Il a toutefois retenu que la gravité de la faute - cinq travailleurs étrangers en situation irrégulière, dont certains pendant plusieurs années - pouvait justifier sans sommation une sanction de trois à six mois (v. PE.2005.0416 cité consid. 4). Pour le surplus, les cas suivants ont été jugés : -     confirmation d’une sanction de huit mois, établissement de taille relativement importante occupant un employé clandestin pendant trois mois, pas de paiement des charges sociales ni de résiliation de l’engagement, récidive après une sommation et une sanction antérieure de six mois (v. PE.2005.0361 du 17 février 2006 consid. 4) ; -    confirmation d’une sanction de six mois, établissement occupant un employé irrégulier en dépit d’une décision de refus, récidive après une sommation (v. PE.2003.0240 du</w:t>
      </w:r>
    </w:p>
    <w:p>
      <w:r>
        <w:rPr>
          <w:b/>
        </w:rPr>
        <w:t>E. 4</w:t>
      </w:r>
    </w:p>
    <w:p>
      <w:r>
        <w:t>a) En l'espèce, le recourant a reçu un simple avertissement le 25 juillet 2001 pour avoir occupé un employé irrégulier. Il s’est ensuite vu infliger le 21 juin 2005 un blocage des autorisations pendant six mois, soit jusqu’au 21 décembre 2005. Le 19 juillet 2005, il a néanmoins présenté une demande d’autorisation de travail en faveur de son employé B._________________, qui travaillait chez lui déjà depuis le 19 mars 2005. En dépit du refus signifié le 11 août 2005, le recourant a gardé l'intéressé à son service pendant plusieurs mois, en tout cas jusqu'au mois de novembre 2005. Les faits commis sont graves et justifient une sanction. b) Certes, le recourant invoque en substance sa bonne foi en exposant ce qui suit. Dès réception du refus du permis prononcé le 11 août 2005, il avait averti son employé - titulaire d’une autorisation de séjour - qu’il allait le licencier moyennant un préavis d’un mois pour le 30 septembre 2005, conformément à son contrat de travail. A la suite de cet entretien, l’employé lui avait affirmé qu’il allait recevoir prochainement le renouvellement de son permis, ce que l’épouse avait confirmé. L’employé lui ayant ensuite présenté le document en cause, il en avait conclu qu’il était en droit de travailler et avait annulé la résiliation des rapports de travail. Par ailleurs, il avait interprété le blocage des autorisations prononcé le 21 juin 2005 comme interdisant uniquement les nouvelles demandes, non pas les permis existants tels qu'en l’occurrence. Ces arguments doivent être écartés. D’une part, s’il est vrai que l’employé disposait d’une autorisation de séjour par regroupement familial, renouvelée par la suite, cela ne signifie pas que l’employeur pouvait se dispenser de requérir une autorisation de travail pour sa nouvelle recrue. Or, le recourant ne pouvait l’ignorer, puisqu'il a précisément déposé une formule 1350 en juillet 2005. D’autre part, le recourant n’est pas davantage crédible lorsqu’il tente de se prévaloir d’une erreur sur la portée de la sanction du 21 juin 2005. En effet, le refus d’engagement du 11 août 2005 indiquait expressément comme motif, non pas l’invalidité ou l’absence d'autorisation de séjour de l’employé, mais l’application de la sanction en cause. Dans ces conditions, le recourant ne peut prétendre maintenant s’être cru légitimé à engager, respectivement à garder l’intéressé à son service à la seule vue de son autorisation de séjour. c) S’agissant d’une récidive intervenue peu de temps après la notification d’une première sanction de six mois, la nouvelle sanction doit pour le moins être d’une durée supérieure à la première. Toutefois, une sanction de douze mois, soit du double, apparaît excessive dans la mesure où l’infraction commise concerne un seul travailleur, non clandestin ; de surcroît, la première sanction du 21 juin 2005 n’indiquait pas qu’une récidive dans un délai d’une année entraînerait le doublement de la sanction. Tout bien pesé, la durée de la sanction litigieuse doit ainsi être fixée à neuf mois.</w:t>
      </w:r>
    </w:p>
    <w:p>
      <w:r>
        <w:rPr>
          <w:b/>
        </w:rPr>
        <w:t>E. 5</w:t>
      </w:r>
    </w:p>
    <w:p>
      <w:r>
        <w:t>Il résulte des considérants qui précèdent que le recours doit être partiellement admis et la décision de l'autorité intimée réformée. Au vu de ce résultat, le recourant, qui n'a pas droit à des dépens, versera un émolument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