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PE.2006.0008 vom 25. April 2006</w:t>
      </w:r>
    </w:p>
    <w:p>
      <w:r>
        <w:t>VD Tribunal cantonal, 2006-04-25, FR</w:t>
      </w:r>
    </w:p>
    <w:p>
      <w:r>
        <w:rPr>
          <w:b/>
        </w:rPr>
        <w:t xml:space="preserve">Quelle: </w:t>
      </w:r>
      <w:r>
        <w:t>https://mcp.opencaselaw.ch/entscheid/vd_omni_PE.2006.0008</w:t>
      </w:r>
    </w:p>
    <w:p>
      <w:r>
        <w:t>FR: VD_OMNI PE.2006.0008 du 25 avril 2006</w:t>
      </w:r>
    </w:p>
    <w:p>
      <w:r>
        <w:t>IT: VD_OMNI PE.2006.0008 del 25 aprile 2006</w:t>
      </w:r>
    </w:p>
    <w:p>
      <w:pPr>
        <w:pStyle w:val="Heading2"/>
      </w:pPr>
      <w:r>
        <w:t>Regeste</w:t>
      </w:r>
    </w:p>
    <w:p>
      <w:r>
        <w:t>X.______________/Service de la population (SPOP) | Refus de renouveler l'autorisation de séjour pour études. Recours rejeté. Le recourant n'a pas obtenu le master en hôtellerie au terme du temps prévu à cet effet, mais a interrompu son programme pour suivre des cours de français, comptant reprendre ensuite ses études en hôtellerie à Lucerne. Ses explications relatives à son changement d'orientation et/ou d'école ne sont pas convaincantes. Par ailleurs, il n'invoque aucune circonstance dérogatoire permettant de déroger au principe de la territorialité.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Aux termes de l’art. 32 de l’Ordonnance du Conseil fédéral limitant le nombre des étrangers du 6 octobre 1986 (OLE), les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ci-dessus ne justifie pas encore l’octroi d’une autorisation (ATF 106 Ib 127).</w:t>
      </w:r>
    </w:p>
    <w:p>
      <w:r>
        <w:rPr>
          <w:b/>
        </w:rPr>
        <w:t>E. 6</w:t>
      </w:r>
    </w:p>
    <w:p>
      <w:r>
        <w:t>a) En l’espèce, le recourant a annoncé le 23 octobre 2003 à l’appui de sa demande de visa, au titre de plan d’études au sens de l’art. 32 lit. c OLE, l’obtention d’un « Master of Administration in Hotel &amp; Tourism Management ». Cette déclaration le lie à l’égal des obligations imposées par l’autorité (art. 10 al. 3 RSEE). Le recourant doit ainsi respecter le plan fixé, sans quoi la condition découlant de l’art. 32 lit. c OLE n’est plus remplie. Or, le recourant n’a précisément pas observé son plan d’études initial. En effet, il séjourne en Suisse depuis plus de deux ans et n’est toujours pas au bénéfice du diplôme prévu. Il n’a suivi le programme de l’American School que jusqu’en automne 2004, puis a commencé des cours de français, censés durer une année, qu’il a prolongés encore jusqu’en juin prochain, avant d’entamer des cours d’hôtellerie dans une autre école. Certes, le recourant déclare avoir ressenti la nécessité d’apprendre le français au cours de son stage. Un tel argument ne justifie toutefois pas une interruption de ses études en hôtellerie pour une formation en français non prévue initialement, d’autant moins qu’à ses dires, ses études principales devaient ensuite se poursuivre dans des environnements non francophones. C’est encore en vain que le recourant affirme avoir été contraint de quitter l’American School pour atteindre son objectif initial, à savoir l’obtention du master précité. D’une part, le courrier du 25 octobre 2004 de l’American School indique au contraire que le recourant devait continuer son MBA à Leysin après les vacances de Noël 2004. D’autre part, la lettre du 23 octobre 2003 de dite école l’informait déjà clairement que la dernière partie de ses études se déroulerait à Londres, de sorte qu’il ne peut tenir cette information comme un fait nouveau l’ayant astreint à se réorganiser. Enfin, le recourant ne démontre pas que les autorités britanniques lui auraient refusé la délivrance d’un titre de séjour pour achever sa formation à Londres ; l’extrait de passeport produit en réponse à l’interpellation de la juge instructeur sur ce point est dénué de toute pertinence. c) Quant au projet d’études du recourant à Lucerne, il implique le dépôt d’une demande d’autorisation dans ce canton, en vertu du principe de la territorialité résultant de l’art. 8 al. 1 LSEE. Le recourant, qui ne le conteste au demeurant pas, n’invoque aucune circonstance dérogatoire qui fonderait les autorités vaudoises à statuer sur une telle demande (TA, arrêt PE.2005.0577 du 17 février 2006 rappelant ce principe et les conditions d’une éventuelle dérogation). d) Enfin, la condition prévue par l’art. 32 lit. f OLE (garantie de sortie de Suisse à l’issue des études) ne semble pas davantage être observée, dans la mesure où le séjour du recourant se prolonge au-delà de toute prévision.</w:t>
      </w:r>
    </w:p>
    <w:p>
      <w:r>
        <w:rPr>
          <w:b/>
        </w:rPr>
        <w:t>E. 7</w:t>
      </w:r>
    </w:p>
    <w:p>
      <w:r>
        <w:t>Mal fondé en tous points, le recours doit être rejeté aux frais de son auteur qui succombe et qui, vu l’issue de son pourvoi, n’a pas droit à l’allocation de dépens.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