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PE.2005.0677 vom 15. Mai 2006</w:t>
      </w:r>
    </w:p>
    <w:p>
      <w:r>
        <w:t>VD Tribunal cantonal, 2006-05-15, FR</w:t>
      </w:r>
    </w:p>
    <w:p>
      <w:r>
        <w:rPr>
          <w:b/>
        </w:rPr>
        <w:t xml:space="preserve">Quelle: </w:t>
      </w:r>
      <w:r>
        <w:t>https://mcp.opencaselaw.ch/entscheid/vd_omni_PE.2005.0677</w:t>
      </w:r>
    </w:p>
    <w:p>
      <w:r>
        <w:t>FR: VD_OMNI PE.2005.0677 du 15 mai 2006</w:t>
      </w:r>
    </w:p>
    <w:p>
      <w:r>
        <w:t>IT: VD_OMNI PE.2005.0677 del 15 maggio 2006</w:t>
      </w:r>
    </w:p>
    <w:p>
      <w:pPr>
        <w:pStyle w:val="Heading2"/>
      </w:pPr>
      <w:r>
        <w:t>Regeste</w:t>
      </w:r>
    </w:p>
    <w:p>
      <w:r>
        <w:t>X /Service de la population (SPOP) | Autorisation de séjour pour études refusée à une ressortissante algérienne titulaire d'une licence universitaire dans son pays qui souhaite entreprendre des études à la Faculté des sciences de l'Université de Genève pour obtenir un titre de bachelor en biologie. Il ne s'agit pas d'un complément indispensable à la formation déjà acquise.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la recourante, âgée de 25 ans, souhaite entreprendre des études universitaires à Genève, après avoir suivi des études universitaires en Algérie.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a déjà accompli des études universitaires complètes d'une durée de cinq ans dans son pays d'origine et elle a obtenu une licence universitaire algérienne (v. mémoire complémentaire du 29 mars 2006). Il s'agit donc d'une formation complète. Inscrite à la Faculté des sciences de l'Université de Genève, elle vise l'obtention d'un baccalauréat universitaire en biologie. Elle n'a toutefois pas donné les informations complémentaires requises par l'autorité intimée, à savoir un plan d'études personnel et précis, qui indiquerait notamment la durée des études, ni quels sont ses projets à la fin de ses études. Le cursus envisagé en Suisse ne peut pas être considéré comme un complément indispensable à une licence universitaire algérienne, même si l'obtention d'un diplôme universitaire suisse n'est pas dénué d'intérêt. En outre, l'intéressée a évoqué elle-même la possibilité de suivre une voie postgrade. L'autorité intimée n'a donc pas abusé de son pouvoir d'appréciation en refusant de délivrer à la recourante l'autorisation de séjour sollicitée pour études.</w:t>
      </w:r>
    </w:p>
    <w:p>
      <w:r>
        <w:rPr>
          <w:b/>
        </w:rPr>
        <w:t>E. 6</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