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PE.2005.0627 vom 10. April 2006</w:t>
      </w:r>
    </w:p>
    <w:p>
      <w:r>
        <w:t>VD Tribunal cantonal, 2006-04-10, FR</w:t>
      </w:r>
    </w:p>
    <w:p>
      <w:r>
        <w:rPr>
          <w:b/>
        </w:rPr>
        <w:t xml:space="preserve">Quelle: </w:t>
      </w:r>
      <w:r>
        <w:t>https://mcp.opencaselaw.ch/entscheid/vd_omni_PE.2005.0627</w:t>
      </w:r>
    </w:p>
    <w:p>
      <w:r>
        <w:t>FR: VD_OMNI PE.2005.0627 du 10 avril 2006</w:t>
      </w:r>
    </w:p>
    <w:p>
      <w:r>
        <w:t>IT: VD_OMNI PE.2005.0627 del 10 aprile 2006</w:t>
      </w:r>
    </w:p>
    <w:p>
      <w:pPr>
        <w:pStyle w:val="Heading2"/>
      </w:pPr>
      <w:r>
        <w:t>Regeste</w:t>
      </w:r>
    </w:p>
    <w:p>
      <w:r>
        <w:t>X c/Service de la population (SPOP) | Confirmation du refus du SPOP de prolonger l'autorisation de séjour pour études d'une ressortissante vietnamienne, entrée dans le canton de Vaud pour y accomplir une formation dans le secteur de l'hôtellerie, qui souhaite fréquenter pendant deux ans une école de langue à Genève en vue de l'obtention du diplôme de l'Alliance Française.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L’art. 8 al. 1 LSEE dispose que les autorisations de séjour ou d’établissement ne sont valables que pour les cantons qui les a délivrées. L’art. 14 al. 1 du règlement d’exécution de la LSEE du 1 er mars 1949 (RSEE) précise pour sa part que l’étranger ne peut avoir en même temps une autorisation de séjour ou d’établissement dans plus d’un canton. Le lieu de situation de l’établissement fréquenté par l’étudiant requérant a été considéré pendant de nombreuses années comme étant le centre des intérêts d’un étudiant. C’est donc naturellement qu’il avait été décidé qu’il appartenait aux autorités de ce canton de statuer sur la demande d’autorisation de séjour, après avoir vérifié que les conditions légales étaient satisfaites (arrêt TA PE.1996.0792 du 25 février 1977). Dans un arrêt PE.1997.0527 du 5 février 1998, le tribunal a toutefois admis que l’étudiant puisse avoir une résidence hors du canton du lieu d’études de manière à permettre à celui-ci de profiter de facilités de logement, moyennant la délivrance d’un assentiment délivré par l’autorité du canton de résidence concerné. Suite à cet arrêt, le SPOP a examiné la question de l’application du principe de territorialité, après avoir notamment consulté certains cantons romands (Fribourg, Genève et Neuchâtel). Il a ainsi pris la décision, dès le 1 er juin 1998, d’accorder des dérogations aux principes de territorialité lors de l’octroi et du renouvellement d’une autorisation de séjour, pour autant que l’une des conditions suivantes soit remplie : a) existence de liens affectifs avec l’hébergeant domicilié dans le canton de Vaud (fiancés, projets de mariage, avec exigence de la communauté de vie effective) ; b) logement auprès d’une parenté (père et mère exceptés), avec loyer gratuit ou très modéré. Les principes énumérés ci-dessus ont été repris par la jurisprudence du tribunal de céans, notamment dans les arrêts TA PE.2005.0554 du 3 mars 2006, TA PE.2002.0216 du 5 août 2002 et TA PE.2000.0059 du 9 octobre 2000. En l’espèce, la recourante ne fait valoir aucun motif répondant aux exigences permettant de bénéficier d’une dérogation au principe de territorialité des autorisations de séjour pour études. Elle n’établit pas l’existence de liens affectifs avec un hébergeant domicilié dans le canton de Vaud ni de facilités de logement qui lui seraient offertes par des membres de sa parenté. Le recours doit donc être rejeté pour ce premier motif.</w:t>
      </w:r>
    </w:p>
    <w:p>
      <w:r>
        <w:rPr>
          <w:b/>
        </w:rPr>
        <w:t>E. 4</w:t>
      </w:r>
    </w:p>
    <w:p>
      <w:r>
        <w:t>Pour le surplus, c’est à juste titre que le SPOP invoque le non-respect du plan d’études de la recourante. Celle-ci a été autorisée à séjourner dans le canton de Vaud pour y accomplir des études dans le domaine de l’hôtellerie. Elle était donc censée disposer des connaissances linguistiques suffisantes pour suivre l’enseignement de l’Ecole HIM, conformément aux exigences des art. 31c ou 32d de l’ordonnance du Conseil fédéral du 6 octobre 1986 limitant le nombre des étrangers (OLE). C’est donc à titre exceptionnel que le SPOP l’a autorisée à suivre un cours de français auprès de l’Institut Le Bosquet, non sans l’avertir qu’un échec ou qu’un nouveau changement d’école pourrait entraîner le non-renouvellement de son autorisation de séjour. Or, la recourante n’a pas tenu compte de cette remarque et s’est inscrite auprès d’une école genevoise dans le but d’y obtenir le diplôme de l’Alliance Française. Cet objectif s’écarte ainsi du but initial de sa formation dans le canton de Vaud. La recourante n’est d’ailleurs plus inscrite auprès de l’Ecole HIM.</w:t>
      </w:r>
    </w:p>
    <w:p>
      <w:r>
        <w:rPr>
          <w:b/>
        </w:rPr>
        <w:t>E. 5</w:t>
      </w:r>
    </w:p>
    <w:p>
      <w:r>
        <w:t>Vu ce qui précède, le recours doit être rejeté, aux frais de son auteur. Il appartiendra au SPOP d’impartir à la recourante un nouveau de délai pour quitter le territoire vaudois et de s’assurer de l’exécution de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