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PE.2005.0616 vom 1. Mai 2006</w:t>
      </w:r>
    </w:p>
    <w:p>
      <w:r>
        <w:t>VD Tribunal cantonal, 2006-05-01, FR</w:t>
      </w:r>
    </w:p>
    <w:p>
      <w:r>
        <w:rPr>
          <w:b/>
        </w:rPr>
        <w:t xml:space="preserve">Quelle: </w:t>
      </w:r>
      <w:r>
        <w:t>https://mcp.opencaselaw.ch/entscheid/vd_omni_PE.2005.0616</w:t>
      </w:r>
    </w:p>
    <w:p>
      <w:r>
        <w:t>FR: VD_OMNI PE.2005.0616 du 1 mai 2006</w:t>
      </w:r>
    </w:p>
    <w:p>
      <w:r>
        <w:t>IT: VD_OMNI PE.2005.0616 del 1 maggio 2006</w:t>
      </w:r>
    </w:p>
    <w:p>
      <w:pPr>
        <w:pStyle w:val="Heading2"/>
      </w:pPr>
      <w:r>
        <w:t>Regeste</w:t>
      </w:r>
    </w:p>
    <w:p>
      <w:r>
        <w:t>X._______________/Service de la population (SPOP) | Refus de renouveler l'autorisation de séjour d'un délinquant dont l'épouse et les enfants disposent d'une autorisation d'établissement. Développement de la jurisprudence fédérale en la matière. Les intérêts privés pèsent moins lourd dans la balance lorsque l'intéressé peut se prévaloir de l'art. 17 al. 2 LSEE à l'exclusion de l'art. 7 al. 1 LSEE. Recours rejeté. Les peines sucessives totalisent quatre ans et trois mois de privation de liberté, dont une condamnation à trois ans et demi de réclusion notamment pour brigandage. La décision de libération conditionnelle et de différé de l'expulsion judiciaire ne conduit pas à une autre solution.</w:t>
      </w:r>
    </w:p>
    <w:p>
      <w:pPr>
        <w:pStyle w:val="Heading2"/>
      </w:pPr>
      <w:r>
        <w:t>Erwägungen</w:t>
      </w:r>
    </w:p>
    <w:p>
      <w:r>
        <w:rPr>
          <w:b/>
        </w:rPr>
        <w:t>E. 1</w:t>
      </w:r>
    </w:p>
    <w:p>
      <w:r>
        <w:t>Selon l'art. 1a de la loi du 26 mars 1931 sur le séjour et l'établissement des étrangers (LSEE; RS 142.20),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142.201]).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 En l’occurrence, l’épouse et les enfants - mineurs - du recourant disposent d’une autorisation d’établissement et entretiennent des liens étroits et effectifs avec lui. Dans ces conditions, il peut se prévaloir des art. 17 al. 2 LSEE et 8 CEDH pour réclamer une autorisation de séjour.</w:t>
      </w:r>
    </w:p>
    <w:p>
      <w:r>
        <w:rPr>
          <w:b/>
        </w:rPr>
        <w:t>E. 2</w:t>
      </w:r>
    </w:p>
    <w:p>
      <w:r>
        <w:t>En l'espèce, l'autorité intimée n'a pas prononcé l'expulsion de l'intéressé, mais a refusé de renouveler son autorisation de séjour. Elle s'est fondée à cet effet, outre sur l'art. 9 al. 2 lettre b LSEE, sur les motifs d'expulsion prévus par l'art. 10 al. 1 lettres a, b et d LSEE. a) Le droit à une autorisation de séjour dans le cadre d'un regroupement familial reconnu par l'art. 17 al. 2 LSEE n'est pas absolu. Il s'éteint si l'ayant droit a enfreint l'ordre public (art. 17 al. 2 dernière phrase LSEE) et s'il existe un motif d'expulsion (art. 10 al. 1 LSEE; arrêt du Tribunal fédéral du 5 juin 2001, 2A.11/2001 consid. 3a). A teneur de l'art. 9 al. 2 lettre b LSEE, l'autorisation de séjour peut en outre être révoquée lorsque la conduite de l'étranger donne lieu à des plaintes graves. b) L'art. 10 al. 1 LSEE prévoit notamment qu'un étranger peut être expulsé de Suisse ou d'un canton s'il a été condamné par une autorité judiciaire pour crime ou délit (lettre a). Il en va de même si sa conduite, dans son ensemble, et ses actes permettent de conclure qu'il ne veut pas s'adapter à l'ordre établi dans le pays qui lui offre l'hospitalité ou qu'il n'en est pas capable (lettre b). Tel est encore le cas si lui-même, ou une personne aux besoins de laquelle il est tenu de pourvoir, tombe d’une manière continue et dans une large mesure à la charge de l’assistance publique (lettre d). L'expulsion ne sera cependant prononcée que si elle paraît appropriée à l'ensemble des circonstances (art. 11 al. 3 LSEE) et qu'elle respecte le principe de la proportionnalité; pour apprécier ce qui est équitable, l'autorité tiendra notamment compte de la gravité de la faute commise par l'étranger, de la durée de son séjour en Suisse et du préjudice qu'il aurait à subir avec sa famille du fait de l'expulsion; si une expulsion paraît, à la vérité, fondée en droit selon l'art. 10 al. 1 lettre a LSEE, mais qu'en raison des circonstances elle ne soit pas opportune, l'étranger sera menacé d'expulsion (art. 16 al. 3 du règlement d'exécution du 1er mars 1949 de la LSEE [RSEE; RS 142.201]). Si le motif d’éloignement tient dans la commission d'une infraction, la peine infligée par le juge pénal est le premier critère servant à évaluer la gravité de la faute et à peser les intérêts. Le risque de récidive est également un facteur important qui doit s'apprécier d'autant plus rigoureusement que les faits reprochés sont graves (cf. ATF 120 Ib 6 consid. 4c p. 15/16). On peut, à cet égard, se référer par analogie à la jurisprudence applicable au conjoint étranger d'un ressortissant suisse, selon laquelle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Ce principe vaut même lorsqu'on ne peut pas - ou difficilement - exiger de l'épouse suisse de l'étranger qu'elle quitte la Suisse, ce qui empêche de fait les conjoints de vivre ensemble d'une manière ininterrompue (cf. ATF 130 II 176 consid. 4.1 p. 185 ; 120 Ib 6 consid. 4b p. 14 se référant à l'arrêt Reneja, ATF 110 Ib 201 ). Cette référence à une quotité de peine de détention de deux ans n’a cependant qu’un caractère indicatif. Pour procéder à la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(cf. ATF 130 II 176 consid. 4.3.3 p. 188, 493 consid. 4.2 p. 500 ; 129 II 215 consid. 3.2 et 7.4 p. 216/217 et 223 et les références citées). c) La déchéance du droit à l’autorisation de séjour conféré par l’art. 17 al. 2 LSEE est soumise à des conditions moins rigoureuses que celle du droit à l’autorisation de séjour découlant de l’art. 7 al. 1 in fine LSEE. Il suffit en effet dans le premier cas que l’intéressé ait «  enfreint l'ordre public », tandis qu’il est nécessaire dans la seconde hypothèse qu’un « motif d’expulsion » soit réalisé. Ainsi, les intérêts privés pèsent moins lourd dans la balance lorsque l’intéressé peut se prévaloir de l’art. 17 al. 2 LSEE à l’exclusion de l’art. 7 al. 1 LSEE  (ATF non publié 2A.7/2004 du 2 août 2004 consid. 4.1 et les références citées, soit ATF 122 II 385 consid. 3a p. 390 ; 120 Ib 129 consid. 4a p. 130/131; Philip Grant, La protection de la vie familiale et de la vie privée en droit des étrangers, thèse Genève 2000, p. 190/191). d) Enfin, le droit au respect de la vie privée et familiale garanti par l'art. 8 par. 1 CEDH ne fait pas obstacle à ce qu'une mesure d’éloignement soit prononcée sur la base de l'art. 10 al. 1 lettre a LSEE. Pour autant qu'elle soit conforme aux principes ci-avant exposés, en particulier celui de la proportionnalité, une telle mesure constitue en effet une ingérence nécessaire à la défense de l'ordre public et à la prévention des infractions pénales au sens de l'art. 8 par. 2 CEDH (cf. ATF 125 II 521 consid.</w:t>
      </w:r>
    </w:p>
    <w:p>
      <w:r>
        <w:rPr>
          <w:b/>
        </w:rPr>
        <w:t>E. 5</w:t>
      </w:r>
    </w:p>
    <w:p>
      <w:r>
        <w:t>p. 529). 3. a) En l’espèce, le recourant réalise le motif d’expulsion prévu par l’art. 10 al. 1 lettre a LSEE. Après avoir été condamné en 1995 à une amende, il s’est vu infliger le 25 juin 2002 sept mois d’emprisonnement pour vol, utilisation frauduleuse d’un ordinateur et violation grave des règles de la circulation. Le 10 novembre 2003, il a été condamné pour vol, conduite d’un véhicule automobile sans assurance RC et usage abusif de plaques à deux mois d’emprisonnement (peine complémentaire à la précédente). Enfin, il a été frappé le 16 juin 2005 d’une peine de 3 ans et demi de réclusion (peine complémentaire à la précédente) pour tentative de vol, tentative d'utilisation frauduleuse d'un ordinateur, vol, dommages à la propriété, utilisation frauduleuse d'un ordinateur, violation de domicile et, surtout, tentative de brigandage (braquage manqué de X.________). Ses peines totalisent ainsi quatre ans et trois mois de privation de liberté, dont une condamnation à trois ans et demi de réclusion. Elles atteignent par conséquent le double de la limite indicative des deux ans au-delà de laquelle la jurisprudence considère, en principe, que le droit à une autorisation de séjour accordée en vertu de l’art. 7 al. 1 LSEE « s’éteint » (soit a fortiori celle octroyée selon l’art. 17 al. 2 LSEE, comme en l’espèce ; cf. consid. 2c ci-dessus). A cela s’ajoute que la faute du recourant est lourde. Certes, les infractions commises ne relèvent pas du trafic de stupéfiants ni, formellement, des atteintes à l’intégrité corporelle (cf. art. 111 ss CP), mais la participation à un acte de brigandage assorti de violence, menaces, séquestration, utilisation de cagoules et port d’un pistolet constitue pour le moins une atteinte grave à la sécurité des personnes. A cela s’ajoute la fréquence des délits commis, en une relative courte période (septembre 2000 - février 2003), étant rappelé que la condamnation à une peine ferme le 25 juin 2002 puis le 18 octobre 2002 ne l’a pas empêché de récidiver à plusieurs reprises. On relèvera encore qu’il n’a pas hésité à cambrioler un de ses employeurs (ch. 4 du jugement du 25 juin 2002). Dans ces conditions, seules des circonstances tout à fait exceptionnelles pourraient conduire à renouveler l’autorisation de séjour du recourant. b) Il est vrai que la décision de libération conditionnelle et de différé de l’expulsion judiciaire du 19 décembre 2005 indique notamment que l’intéressé reconnaît ses actes - qu’il semble regretter sincèrement - et le bien-fondé de ses condamnations, de sorte que la privation de liberté semble avoir eu sur lui l’effet dissuasif escompté. Cependant, une telle appréciation ne suffit pas à écarter avec une garantie suffisante un risque non négligeable de récidive, au vu de la quantité, de la fréquence et de la gravité des infractions commises, ainsi que de la brièveté de la période passée en liberté. Force est ainsi de retenir que le recourant représente toujours un sérieux danger pour la sécurité et l’ordre publics. c) Il reste à déterminer l’intérêt privé du recourant - et de sa famille - à ce qu’il reste en Suisse. Le recourant est entrée en Suisse en 1991, alors qu’il était âgé de dix-sept ans. Agé aujourd’hui de trente et un ans, il a ainsi effectué toute sa vie d’adulte en Suisse, où résident également ses parents et sa proche parenté. Il est donc indéniable que le recourant dispose avec notre pays d’attaches non négligeables. Cela ne signifie toutefois pas qu’il s’y soit véritablement intégré. En effet, sa situation professionnelle n’a jamais été stable et, surtout, il a effectué pendant ce séjour une large quantité d’actes répréhensibles. A cela s’ajoute que le recourant a passé son enfance et son adolescence dans son pays d’origine, de sorte qu’il a également tissé des liens importants avec celui-ci. A cet égard, on relèvera qu’il a affirmé à la police cantonale le 13 décembre 2000 avoir caché 300'000 fr. « dans ma maison au Kosovo que je viens de construire ». Sa situation propre ne conduit donc pas à renverser la pesée des intérêts en sa faveur. Certes, le recourant a fondé une famille en Suisse. Toutefois, son épouse et ses deux enfants sont de même nationalité que lui. A teneur de son permis C, la prénommée est du reste entrée en Suisse le 9 avril 1994 après son mariage, alors qu’elle était âgée de pratiquement 18 ans. Il n’est donc pas impossible d’exiger d’eux, au vu notamment du jeune âge des enfants, de onze et cinq ans, qu’ils suivent leur époux et père dans leur pays d’origine. Par ailleurs, l'intéressé n'ayant pas été frappé d’expulsion administrative, il lui sera loisible de rendre visite à sa famille, si celle-ci décide de rester en Suisse. En définitive, l'intérêt public à renvoyer l'intéressé, qui est un délinquant récidiviste présentant un sérieux danger pour l'ordre et la sécurité publics, l'emporte largement sur son intérêt à demeurer en Suisse avec sa famille (v. arrêt TA PE.2004.0306 du 16 mars 2005 et arrêt du Tribunal fédéral non publié 2A.267/2005 du 14 juin 2005). 4. Il résulte des considérants qui précèdent que le recours doit être rejeté aux frais du recourant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