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PE.2005.0570 vom 11. Mai 2006</w:t>
      </w:r>
    </w:p>
    <w:p>
      <w:r>
        <w:t>VD Tribunal cantonal, 2006-05-11, FR</w:t>
      </w:r>
    </w:p>
    <w:p>
      <w:r>
        <w:rPr>
          <w:b/>
        </w:rPr>
        <w:t xml:space="preserve">Quelle: </w:t>
      </w:r>
      <w:r>
        <w:t>https://mcp.opencaselaw.ch/entscheid/vd_omni_PE.2005.0570</w:t>
      </w:r>
    </w:p>
    <w:p>
      <w:r>
        <w:t>FR: VD_OMNI PE.2005.0570 du 11 mai 2006</w:t>
      </w:r>
    </w:p>
    <w:p>
      <w:r>
        <w:t>IT: VD_OMNI PE.2005.0570 del 11 maggio 2006</w:t>
      </w:r>
    </w:p>
    <w:p>
      <w:pPr>
        <w:pStyle w:val="Heading2"/>
      </w:pPr>
      <w:r>
        <w:t>Regeste</w:t>
      </w:r>
    </w:p>
    <w:p>
      <w:r>
        <w:t>X /Service de la population (SPOP) | Réexamen. Refus d'entrer en matière sur une demande d'autorisation de séjour pour études, seul l'établissement auprès duquel les études sont envisagées (EPFL au lieu de EPRE) étant différent.</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4</w:t>
      </w:r>
    </w:p>
    <w:p>
      <w:r>
        <w:t>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En l'espèce, le recourant a sollicité en 2004 une première autorisation de séjour pour études à l'EPRE, qui a été refusée par l'autorité intimée. L'année suivante, il a présenté une demande en indiquant qu'il avait décidé d'entreprendre des études à l'EPFL, après avoir suivi les cours du CMS. L'autorité intimée a considéré cette deuxième demande comme une demande de réexamen, qu'elle a rejetée pour cause d'irrecevabilité, à défaut de fait nouveau. Il convient tout d'abord de rappeler les conditions auxquelles obéit la procédure de réexamen. a) Lorsqu'une telle obligation n'est ni prévue par la législation ni reconnue par une pratique administrative constante, comme c'est le cas en procédure administrative vaudoise (cf. ATF 116 Ia 433, consid. 5), le Tribunal fédéral a déduit de l'art. 4 aCst. (actuellement art. 8 Cst.) l'obligation pour l'autorité administrative de se saisir d'une demande de réexamen si le requérant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109 Ib 246, consid. 4a; 113 Ia 146, consid. 3a, JT 1989 I 209; 120 Ib 42, consid. 2b;  124 II 1, consid. 3a et ATF du 14 avril 1998, ZBl 1999, p. 84 c. 2d). Dans ces deux hypothèses, les faits invoqués doivent être importants, c'est-à-dire de nature à entraîner une modification de l'état de fait à la base de la décision, ainsi qu'une décision plus favorable au requérant. Il en va de même des moyens de preuve dans la première hypothèse, qui sont importants dans la mesure où il y lieu d'admettre qu'ils eussent amené à une décision différente s'ils avaient été connus à temps (par analogie avec les art. 136 litt. d, 137 litt. b OJF et 66 al. 2 litt. a PA, cf. ATF 122 II 17, consid. 3; 121 IV 317, consid. 2; JAAC 1996, n° 38, consid. 5; Pierre Moor, Droit administratif, vol. II: Les actes administratifs et leur contrôle, Berne 2002, n° 2.4.4.1a; A. Koelz/I. Haener, Verwaltungsverfahren und Verwaltungsrechtspflege des Bundes, 2ème éd., Zurich 1998, n° 740 et 741, p. 260). Le Tribunal fédéral a eu l'occasion de souligner que les demandes successives portant, comme en l'espèce, sur le même objet ne doivent pas servir à remettre continuellement en question des décisions administratives entrées en force, ni surtout à éluder les dispositions légales sur les délais de recours (ATF du 3 septembre 1998, RDAF 1999 I 245, consid. a; 120 précité et les arrêts cités).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notamment JAAC 1996, n° 37, c. 1b; P. Moor, op. cit., n° 2.4.4.1a; A. Koelz/I. Haener, op. cit., n° 434, p. 159, application analogique de l'art. 66 al. 3 PA; en matière de réexamen des décisions de taxation fiscale, cf. également ATF 111 Ib 209, consid. 1).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(arrêt TF 2A.574/2005 du 2 février 2006, consid. 2.1). b) Le recourant conteste la qualification retenue par l'autorité intimée, à savoir que la requête du 8 août 2005 serait une demande de réexamen. Selon lui, le fait que cette deuxième demande porte sur un autre établissement - l'EPFL - que la première - l'EPRE - suffirait à lui donner le caractère d'une nouvelle demande. Cet argument ne saurait être retenu dans la mesure où il s'agit bien d'une même demande tendant à la délivrance d'une autorisation de séjour pour études dans une école ou une université lausannoise, dans le domaine de l'informatique. C'est dès lors à juste titre que l'autorité intimée a examiné la demande sous l'angle du réexamen. Elle a toutefois refusé d'entrer en matière sur le fond, au motif que le changement d'établissement ne constituait pas un fait nouveau ouvrant la voie du réexamen. Il est vrai que le refus prononcé le 9 décembre 2004 par l'autorité s'appuyait notamment sur le fait que la formation envisagée ne constituait pas un complément indispensable au cursus déjà suivi. La nouvelle formation envisagée, qui n'est pas fondamentalement différente de la première - dans les deux cas le recourant envisage une formation d'ingénieur en informatique - ne saurait dès lors constituer un fait nouveau, susceptible le cas échéant de modifier les conclusions de l'autorité quant à la nécessité pour le recourant de l'entreprendre. c) Par ailleurs, même dans l'hypothèse d'une entrée en matière quant au fond, les arguments invoqués par le recourant ne sauraient être retenus, puisqu'il ne donne aucune explication sur les raisons du changement d'institution et aucun argument  quant à la nécessité, en tant que complément indispensable au diplôme déjà obtenu, d'entreprendre des études d'ingénieur en informatique. En effet, compte tenu du temps que le recourant a déjà passé en Suisse - d'abord huit ans, puis six ans, soit quatorze ans au total - et de la possibilité qui lui a été donnée, à titre tout à fait exceptionnel, de terminer ses études gymnasiales, il convient d'admettre que cette formation ne présente pas les caractéristiques d'un complément indispensable aux écoles et à la formation déjà suivies. A cela s'ajoute le fait avéré de la crainte qu'un nouveau séjour du recourant en Suisse ne l'enracine encore davantage dans ce pays où il est certes né, mais qu'il a quitté avec sa famille pendant cinq ans et demi, avant d'y revenir sans autorisation, et que cela l'empêche définitivement de trouver sa place dans son pays d'origine. A cet égard, il n'est pas inutile de rappeler qu'une des raisons invoquées par les parents du recourants pour expliquer leur retour en Suisse en 1998 a été le fait que "leur fils a beaucoup souffert et n'a jamais retrouvé ni l'équilibre ni le bonheur qu'il a connu en Suisse" (v. arrêt TA PE 1999.0182 du 10 janvier 2000, lettre b). En outre, l'intéressé a déjà quitté la Bolivie et il s'est rapproché de la Suisse, séjournant en Espagne, d'où il a présenté sa demande d'autorisation d'entrée en Suisse. Les craintes de l'autorité intimée quant au risque de voir le recourant vouloir rester dans le pays au terme de ses études - études d'une durée de six ans - est fondé, partant les conditions pour la délivrance d'une autorisation de séjour études ne sont pas remplies (art. 32 lettre f OLE). L'autorité intimée n'a donc pas abusé de son pouvoir d'appréciation en refusant de délivrer au recourant l'autorisation de séjour pour études sollicitée.</w:t>
      </w:r>
    </w:p>
    <w:p>
      <w:r>
        <w:rPr>
          <w:b/>
        </w:rPr>
        <w:t>E. 6</w:t>
      </w:r>
    </w:p>
    <w:p>
      <w:r>
        <w:t>Il résulte des considérants qui précèdent que le recours doit être rejeté et la décision attaquée maintenue. Au vu de ce résultat, il convient de mettre à la charge du recourant, qui n'a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