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PE.2005.0525 vom 15. November 2005</w:t>
      </w:r>
    </w:p>
    <w:p>
      <w:r>
        <w:t>VD Tribunal cantonal, 2005-11-15, FR</w:t>
      </w:r>
    </w:p>
    <w:p>
      <w:r>
        <w:rPr>
          <w:b/>
        </w:rPr>
        <w:t xml:space="preserve">Quelle: </w:t>
      </w:r>
      <w:r>
        <w:t>https://mcp.opencaselaw.ch/entscheid/vd_omni_PE.2005.0525</w:t>
      </w:r>
    </w:p>
    <w:p>
      <w:r>
        <w:t>FR: VD_OMNI PE.2005.0525 du 15 novembre 2005</w:t>
      </w:r>
    </w:p>
    <w:p>
      <w:r>
        <w:t>IT: VD_OMNI PE.2005.0525 del 15 novembre 2005</w:t>
      </w:r>
    </w:p>
    <w:p>
      <w:pPr>
        <w:pStyle w:val="Heading2"/>
      </w:pPr>
      <w:r>
        <w:t>Regeste</w:t>
      </w:r>
    </w:p>
    <w:p>
      <w:r>
        <w:t>X/Service de l'emploi Office cantonal de la main-d'oeuvre, Service de la population (SPOP) | Demande de réexamen; le dépôt d'une demande de naturalisation en Italie n'est pas un fait nouveau et pertinent, car le recourant n'est pas à l'heure actuelle un ressortissant d'un Etat membre de l'UE. Recours rejeté en application de l'art. 35a LJPA.</w:t>
      </w:r>
    </w:p>
    <w:p>
      <w:pPr>
        <w:pStyle w:val="Heading2"/>
      </w:pPr>
      <w:r>
        <w:t>Erwägungen</w:t>
      </w:r>
    </w:p>
    <w:p>
      <w:r>
        <w:rPr>
          <w:b/>
        </w:rPr>
        <w:t>E. 42</w:t>
      </w:r>
    </w:p>
    <w:p>
      <w:r>
        <w:t>consid. 2 b; André Grisel, Traité de droit administratif, Volume 2, Neuchâtel 1984, p. 948-949) ; -   que, selon le recourant, constituerait un fait nouveau le dépôt de sa demande de naturalisation en Italie ; -   que cet élément ne saurait toutefois suffire à obtenir le réexamen de la décision de l’autorité intimée, puisque le recourant n’est pas à l’heure actuelle un ressortissant d’un Etat membre de l’Union européenne ; -   qu’en définitive, le recourant ne fait pas valoir de faits nouveaux et pertinents justifiant une demande de réexamen; -   que le recours se révèle donc manifestement mal fondé, de sorte qu’il doit être rejeté en application de l’art. 35 a LJPA ; -   qu’il y a lieu de mettre à la charge du recourant un émolument de justice de 500 fr. ; -   qu’il ne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