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PE.2005.0503 vom 25. Januar 2006</w:t>
      </w:r>
    </w:p>
    <w:p>
      <w:r>
        <w:t>VD Tribunal cantonal, 2006-01-25, FR</w:t>
      </w:r>
    </w:p>
    <w:p>
      <w:r>
        <w:rPr>
          <w:b/>
        </w:rPr>
        <w:t xml:space="preserve">Quelle: </w:t>
      </w:r>
      <w:r>
        <w:t>https://mcp.opencaselaw.ch/entscheid/vd_omni_PE.2005.0503</w:t>
      </w:r>
    </w:p>
    <w:p>
      <w:r>
        <w:t>FR: VD_OMNI PE.2005.0503 du 25 janvier 2006</w:t>
      </w:r>
    </w:p>
    <w:p>
      <w:r>
        <w:t>IT: VD_OMNI PE.2005.0503 del 25 gennaio 2006</w:t>
      </w:r>
    </w:p>
    <w:p>
      <w:pPr>
        <w:pStyle w:val="Heading2"/>
      </w:pPr>
      <w:r>
        <w:t>Regeste</w:t>
      </w:r>
    </w:p>
    <w:p>
      <w:r>
        <w:t>X /Service de la population (SPOP) | La ressortissante roumaine qui n'a pas sollicité un visa avant de venir en Suisse a dès lors limité son séjour à trois mois et ne peut pas se voir délivrer une autorisation de séjour.</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 4.                Selon l'art. 1 al. 2 du règlement d'exécution du 1er mars 1949 de la loi fédérale sur le séjour et l'établissement des étranges (RSEE), l'étranger réputé entrer légalement en Suisse lorsqu'il s'est conformé aux prescriptions concernant la production de pièces de légitimation, le visa, le contrôle à la frontière, etc. et qu'il n'a pas contrevenu à une défense personnelle, telle qu'une expulsion, une interdiction ou une restriction d'entrée. 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L'art. 4 OEArr, qui traite de la libéralisation de l'obligation de visa, prévoit que les ressortissants vénézuéliens sont dispensés de l'obligation de visa dans la mesure où leur séjour ne dépasse pas trois mois et qu'il n'y a pas de prise d'emploi. Le tribunal de céans a déjà confirmé que la violation des prescriptions applicables en matière de visa étaient de nature à justifier le refus de toute autorisation de séjour (v. parmi d'autres arrêts TA PE 2000/0503 du 12 avril 2001; PE 2002/0204 du 5 août 2002, PE 2002/0226 du 29 octobre 2002 et PE 2003/0192 du 15 septembre 2003. 5.                En l’espèce, il est patent que la recourante, d’origine roumaine, devait se procurer un visa dès lors qu’elle avait l’intention, comme elle l’indique elle-même, d’effectuer un séjour en Suisse d’une durée supérieure à trois mois. Elle devait se douter que son projet d’étude nécessitait certaines formalités préalables, comme d’ailleurs dans de nombreux autres Etats qui n’autorisent pas une immigration libre. Renonçant à solliciter un visa, la recourante a volontairement limité son séjour à trois mois, ce qui doit conduire au rejet de son recours dès lors qu’elle a largement dépassé cette période de présence en Suisse avant que la décision entreprise ne soit rendue. 6.                Par surabondance, on relèvera qu’une autorisation de séjour pour études n’est en principe octroyée à un étranger que lorsque celui-ci a besoin d’effectuer en Suisse un complément de formation indispensable à celle qu’il a déjà acquise à l’étranger. Tel n’est pas le cas de la recourante, laquelle affirme être active dans le domaine hôtelier, et qui affirme vouloir se consacrer désormais au tourisme. Si son projet professionnel nécessite la maîtrise du français, cette langue peut parfaitement être apprise dans un autre pays francophone, voire même sans doute en Roumanie. 7.                Vu ce qui précède, la décision entreprise se révèle bien fondée de sorte qu’elle sera maintenue, ce qui conduit au rejet du recours. Vu l’issue du pourvoi, un nouveau délai sera imparti à la recourante pour quitter le territoire vaudois. Enfin, un émolument judiciaire sera mis à sa charge, la recourante ne pouvant au surplus pas prétendre à l’allocation de dépens puisqu’elle succombe (article 55 alinéa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