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PE.2005.0489 vom 27. April 2006</w:t>
      </w:r>
    </w:p>
    <w:p>
      <w:r>
        <w:t>VD Tribunal cantonal, 2006-04-27, FR</w:t>
      </w:r>
    </w:p>
    <w:p>
      <w:r>
        <w:rPr>
          <w:b/>
        </w:rPr>
        <w:t xml:space="preserve">Quelle: </w:t>
      </w:r>
      <w:r>
        <w:t>https://mcp.opencaselaw.ch/entscheid/vd_omni_PE.2005.0489</w:t>
      </w:r>
    </w:p>
    <w:p>
      <w:r>
        <w:t>FR: VD_OMNI PE.2005.0489 du 27 avril 2006</w:t>
      </w:r>
    </w:p>
    <w:p>
      <w:r>
        <w:t>IT: VD_OMNI PE.2005.0489 del 27 aprile 2006</w:t>
      </w:r>
    </w:p>
    <w:p>
      <w:pPr>
        <w:pStyle w:val="Heading2"/>
      </w:pPr>
      <w:r>
        <w:t>Regeste</w:t>
      </w:r>
    </w:p>
    <w:p>
      <w:r>
        <w:t>c/Service de la population (SPOP) | Commet un abus de droit à invoquer son mariage pour obtenir le renouvellement de son permis de séjour, l'étranger qui vit séparé de son épouse depuis près de 4 ans au moment où la décision attaquée a été rendue et qui n'a fait ménage commun avec cette dernière que deux ans à peine. De plus, l'examen des conditions d'un renouvellement suite à une séparation ne sont en l'espèce pas réunies, le recourant ne pouvant se prévaloir que d'un long séjour dans notre pays.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Aux termes de l'art. 1 lettre a LSEE, cette dernière n'est applicable aux ressortissants des Etats membres de la Communauté européenne et aux membres de leur famille que si l'Accord entre la Communauté européenne et ses Etats membres, d'une part, et la Confédération suisse conclu le 21 juin 1999 et entré en vigueur le 1er juin 2002 (ci-après ALCP, RS 0.142.112.681) n'en dispose pas autrement ou si ladite loi prévoit des dispositions plus favorables (ATF 130 II 113 et ATF 2A.379/2003 du 6 avril 2004 dans la cause IMES c. F. N. et SPOP + réf. cit.). Il se justifie par conséquent de comparer la situation juridique du recourant, marié à une ressortissante communautaire (italienne), sous l'angle respectivement de la LSEE et de l’ALCP.</w:t>
      </w:r>
    </w:p>
    <w:p>
      <w:r>
        <w:rPr>
          <w:b/>
        </w:rPr>
        <w:t>E. 5</w:t>
      </w:r>
    </w:p>
    <w:p>
      <w:r>
        <w:t>a) L'art. 17 al. 1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et sous réserve de l’abus de droit (ATF 121 II 97 consid. 2).</w:t>
      </w:r>
    </w:p>
    <w:p>
      <w:r>
        <w:rPr>
          <w:b/>
        </w:rPr>
        <w:t>E. 6</w:t>
      </w:r>
    </w:p>
    <w:p>
      <w:r>
        <w:t>a) En vertu de l'art. 4 ALCP, le droit de séjour des ressortissants d'une partie contractante sur le territoire d'une autre partie contractante est garanti sous réserve de l'art. 10 et conformément aux dispositions arrêtées dans l'Annexe I ALCP (ci-après Annexe I). Aux termes de l'art. 3 al. 1 de l'annexe précitée,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(art. 3 al. 2 let. a, Annexe I). b) Le Tribunal fédéral s'est prononcé récemment sur la portée de cette disposition (ATF 130 II 113). D'après cette jurisprudence, l'art. 3 Annexe I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cf. arrêt du Tribunal fédéral non publié 2A.238/2003). Toujours selon l'arrêt susmentionné, ce droit n'est cependant pas absolu. D'une part, l'art. 3 Annexe I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c) Cela étant, il faut examiner si les conditions de l'abus du droit découlant de l'art. 3 Annexe I sont réalisées en l'espèce, comme le soutient le SPOP. Selon la jurisprudence relative à l'art. 7 al. 1 LSEE, applicable par analogie,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du 19 décembre 2003 précité, consid. 10.2; 128 II 145 consid. 2.2 et les arrêts cités). d) Dans le cas présent, l’autorité intimée soutient qu'X.________________ commet un abus de droit en invoquant un mariage n’existant plus que formellement pour obtenir la prolongation de son autorisation de séjour. Cette appréciation est pertinente et le tribunal ne peut que s’y rallier. Les époux se sont en effet séparés en septembre 2001 déjà, soit moins de deux ans après la célébration de leur mariage. Depuis lors, soit depuis près de 4 ans au moment de la décision attaquée, ils ne font plus ménage commun. Quand bien même les époux n’ont pas déposé de demande en divorce, aucun élément du dossier ne permet de considérer qu’il existerait encore un quelconque espoir de réconciliation, le recourant admettant lui-même vivre une "déconvenue conjugale". Dans ces conditions, force est d’admettre que le mariage, qui n’est plus vécu depuis plus de 4 ans, est manifestement vidé de toute sa substance. Le recourant commet dès lors un abus de droit à s’en prévaloir pour obtenir le maintien de son autorisation de séjour.</w:t>
      </w:r>
    </w:p>
    <w:p>
      <w:r>
        <w:rPr>
          <w:b/>
        </w:rPr>
        <w:t>E. 7</w:t>
      </w:r>
    </w:p>
    <w:p>
      <w:r>
        <w:t>L'autorité peut admettre dans certains cas le renouvellement de l'autorisation de séjour en cas de divorce ou de rupture de l'union conjugale, notamment pour éviter des situations d'extrême rigueur (cf. Directives et commentaires sur l'entrée, le séjour et le marché du travail établies par l'Office fédéral de l'immigration, de l'intégration et de l'émigration suisse, état février 2004, ci-après Directives, chiffre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a) En l'occurrence, X.________________ est arrivé en Suisse le 18 novembre 2000. Il réside donc dans notre pays depuis près de cinq ans et demi, ce qui n'est pas négligeable et doit être pris en considération. b) Les époux n'ont pas d'enfant commun. c) Il convient d'examiner la situation professionnelle et l'éventuelle stabilité professionnelle du recourant. Le recourant n’a pas de formation professionnelle. Depuis son arrivée en Suisse, il a travaillé comme aide paysagiste. Au moment du dépôt du recours, il travaillait comme ouvrier au service d’une entreprise de travail temporaire et était occupé sur le chantier du tunnel de Glion. Il ressort par ailleurs du jugement rendu par le Tribunal de police le 27 juillet 2005 que l’intéressé a pour environ 30'000 francs de dettes, l’Office des poursuites opérant une saisie de 3'000 francs sur chacun des salaires. Au vu de ces circonstances, on ne saurait parler de stabilité professionnelle, le recourant effectuant les missions pour une entreprise de travail temporaire et ne disposant pas de qualification professionnelle particulière. A cela s’ajoute le fait qu’il existe un risque qu’il tombe à un moment donné ou à un autre à la charge des services sociaux, lorsque ses emplois temporaires seront terminés. d) Il reste à examiner la question de l'intégration du recourant dans notre pays. X.________________ parle parfaitement le français. On ne saurait toutefois admettre qu’il est parfaitement adapté à notre mode de vie dans la mesure où il a fait l’objet de différentes plaintes et d’une condamnation le 27 juillet 2005 par le Tribunal de police pour agression, voies de fait, injure et faux dans les certificats à une peine de 4 mois d’emprisonnement avec sursis pendant deux ans. De plus, il ressort de ce jugement pénal que l’intéressé n’a pas de famille en Suisse. e) En résumé, sous réserve de la durée du séjour dans notre pays, il n'y a aucun élément qui permette de s’écarter de la décision de révocation prise par l’autorité intimée.</w:t>
      </w:r>
    </w:p>
    <w:p>
      <w:r>
        <w:rPr>
          <w:b/>
        </w:rPr>
        <w:t>E. 8</w:t>
      </w:r>
    </w:p>
    <w:p>
      <w:r>
        <w:t>En conclusion, la décision entreprise est parfaitement conforme au droit, le SPOP n’ayant au surplus ni excédé ni abusé de son pouvoir d’appréciation en révoquant l’autorisation de séjour d’X.________________. Le pourvoi doit donc être rejeté et la décision attaquée maintenue. Vu l’issue du recours, les frais du présent arrêt seront mis à la charge du recourant débouté, qui n’a pas droit à des dépens (art. 55 al. 1 LJPA).</w:t>
      </w:r>
    </w:p>
    <w:p>
      <w:r>
        <w:rPr>
          <w:b/>
        </w:rPr>
        <w:t>E. 9</w:t>
      </w:r>
    </w:p>
    <w:p>
      <w:r>
        <w:t>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