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PE.2005.0473 vom 30. Dezember 2005</w:t>
      </w:r>
    </w:p>
    <w:p>
      <w:r>
        <w:t>VD Tribunal cantonal, 2005-12-30, FR</w:t>
      </w:r>
    </w:p>
    <w:p>
      <w:r>
        <w:rPr>
          <w:b/>
        </w:rPr>
        <w:t xml:space="preserve">Quelle: </w:t>
      </w:r>
      <w:r>
        <w:t>https://mcp.opencaselaw.ch/entscheid/vd_omni_PE.2005.0473</w:t>
      </w:r>
    </w:p>
    <w:p>
      <w:r>
        <w:t>FR: VD_OMNI PE.2005.0473 du 30 décembre 2005</w:t>
      </w:r>
    </w:p>
    <w:p>
      <w:r>
        <w:t>IT: VD_OMNI PE.2005.0473 del 30 dicembre 2005</w:t>
      </w:r>
    </w:p>
    <w:p>
      <w:pPr>
        <w:pStyle w:val="Heading2"/>
      </w:pPr>
      <w:r>
        <w:t>Regeste</w:t>
      </w:r>
    </w:p>
    <w:p>
      <w:r>
        <w:t>c/Service de l'emploi Office cantonal de la main-d'oeuvre, Service de la population (SPOP) | Confirmation du refus de l'OCMP de délivrer une autorisation de séjour et de travail en qualité de tôlier-carrossier à un ressortissant polonais, les conditions des art. 7 et 8 OLE n'étant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Comme l’autorité intimée l’a relevé à juste titre, l’autorisation de séjour et de travail dont dispose l’épouse de Y._________________ne permet pas le regroupement familial. L’intéressée ne dispose en effet que d’un permis de courte durée, limité à douze mois. Le recours doit dès lors être examiné au regard des art. 7 et 8 de l’ordonnance du Conseil fédéral du 6 octobre 1986 limitant le nombre des étrangers (OLE). 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Depuis l’entrée en vigueur, le 1 er juin 2002, de l’accord du 21 juin 1999 entre la Confédération suisse, d’une part, et la Communauté européenne et ses Etats membres, d’autre part, sur la libre-circulation des personnes (ALCP), les recherches de personnel ne doivent pas se limiter au marché suisse mais doivent s’étendre au marché européen. En l’espèce, la recourante n’a produit aucun document démontrant qu’elle avait tenté de recruter un carrossier pouvant bénéficier d’un droit de séjour en Suisse. Elle a au contraire jeté d’emblée son dévolu sur Y._________________, dont elle apprécie les qualités tant morales que professionnelles. Même si on peut le regretter, un tel procédé est clairement contraire aux exigences de l’art. 7 OLE. b) L’art. 8 OLE consacré à la priorité dans le recrutement, dispose à son alinéa 1 qu’une autorisation en vue d’exercer une activité lucrative est accordée en premier lieu aux ressortissants des Etats-membres de l’Union européenne, conformément à l’ALCP et aux ressortissants des Etats-membres de l’Association européenne de libre-échange, conformément à la convention constituant l’AELE. En l’état, les ressortissants polonais ne sont pas concernés par l’ALCP, quand bien même la Pologne a rejoint l’Union Européenne. Selon l’alinéa 3 litt. a de cette disposition, une exception peut être admise lorsqu’il s’agit de personnel qualifié et que des motifs particuliers justifient une exception. Comme on l’a vu, Y._________________, de nationalité polonaise, ne peut pas se prévaloir de l’art. 8 al. 1 OLE. Selon la jurisprudence du Tribunal administratif, il faut entendre par personnel qualifié au sens de l’art. 8 al. 3 litt. a OLE, des travailleurs au bénéfice d’une formation et de connaissances et expériences professionnelles spécifiques telles qu’il soit impossible, voire très difficile, de les recruter dans un pays membre de l’UE ou de l’AELE (voir, par exemple, arrêts PE.2004.0645 du 24 mai 2005 et PE.2004.0677 du 1 er juillet 2005). Il n’est pas contesté que Y._________________possède de bonnes qualifications professionnelles et que son apport serait appréciable pour la recourante. On ne peut toutefois pas admettre qu’il possède, en matière de tôlerie-carosserie, des connaissances si spécifiques ou pointues qu’il soit impossible de trouver un travailleur de son niveau en Suisse ou dans les pays concernés par l’ALCP. Une exception au sens de l’art. 8 al. 3 litt. a OLE n’est en conséquence pas possible.</w:t>
      </w:r>
    </w:p>
    <w:p>
      <w:r>
        <w:rPr>
          <w:b/>
        </w:rPr>
        <w:t>E. 4</w:t>
      </w:r>
    </w:p>
    <w:p>
      <w:r>
        <w:t>Vu ce qui précède, le recours doit être rejeté et la décision entreprise maintenue. Succombant, la recourante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