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PE.2005.0452 vom 10. Februar 2006</w:t>
      </w:r>
    </w:p>
    <w:p>
      <w:r>
        <w:t>VD Tribunal cantonal, 2006-02-10, FR</w:t>
      </w:r>
    </w:p>
    <w:p>
      <w:r>
        <w:rPr>
          <w:b/>
        </w:rPr>
        <w:t xml:space="preserve">Quelle: </w:t>
      </w:r>
      <w:r>
        <w:t>https://mcp.opencaselaw.ch/entscheid/vd_omni_PE.2005.0452</w:t>
      </w:r>
    </w:p>
    <w:p>
      <w:r>
        <w:t>FR: VD_OMNI PE.2005.0452 du 10 février 2006</w:t>
      </w:r>
    </w:p>
    <w:p>
      <w:r>
        <w:t>IT: VD_OMNI PE.2005.0452 del 10 febbraio 2006</w:t>
      </w:r>
    </w:p>
    <w:p>
      <w:pPr>
        <w:pStyle w:val="Heading2"/>
      </w:pPr>
      <w:r>
        <w:t>Regeste</w:t>
      </w:r>
    </w:p>
    <w:p>
      <w:r>
        <w:t>X.______________, Y._________________, Z._____________/Service de la population (SPOP) | Permis humanitaire. Famille de clandestins séjournant dans le canton depuis 5 ans à 6 ans et demi, financièrement autonome, parlant le français et de bonne réputation. La transmission de leur dossier ne se justifie néanmoins pas: un renvoi ne devrait pas les exposer à des difficultés particulières et, surtout, le père a violé une interdiction d'entrée en Suisse, ce qui constitue une infraction supplémentaire à la LSEE dont il faut tenir compte, même si celle-ci découle du statut de clandestin.</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Conformément à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L'exercice d'un contrôle judiciaire dans ce cadre-là garde tout son sens même si le juge administratif doit observer alors une certaine retenue dans l'examen de la manière dont l'administration a exercé ses prérogatives (arrêt TA PE.1998.0135 du 30 septembre 1998 consid. 4; publié in RDAF 1999 I 242 p. 244).</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(v. notamment ATF 127 II 161 consid. 1a et 60; 126 II 377 consid. 2, 335 consid. 1a; 124 II 361 consid. 1a). Tel n'est pas le cas en l'espèce pour les recourants qui ne se prévalent ni d'une norme du droit fédéral, ni d'un traité international.</w:t>
      </w:r>
    </w:p>
    <w:p>
      <w:r>
        <w:rPr>
          <w:b/>
        </w:rPr>
        <w:t>E. 5</w:t>
      </w:r>
    </w:p>
    <w:p>
      <w:r>
        <w:t>a) 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litt. a et c OLE). Toutefois, l'art. 13 litt.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Dans la pratique, on qualifie les autorisations de séjour délivrées ensuite d'une exception aux mesures de limitation du nombre des étrangers de permis "humanitaires". Il découle de la formulation de l'art. 13 litt.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 124 II 110 consid. 2 et les références citées). Le Tribunal fédéral a précisé que les séjours illégaux en Suisse ne sont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notre Haute Cour a rappelé que l'art. 13 litt.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litt.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b) Par une circulaire du 21 décembre 2001 (dite "circulaire Metzler") modifiée le 8 octobre 2004 (sans que les changements ne concernent les étrangers non soumis à la législation sur l'asile), l'ODM a fait part de la pratique des autorités fédérales concernant la réglementation du séjour s'agissant de cas personnels d'extrême gravité. D'après l'ODM, les séjours en Suisse, même illégaux, d'une durée supérieure à quatre ans, exigent des autorités cantonales un examen approfondi de la demande d'autorisation de séjour. Toutefois, un séjour d'une durée supérieure à quatre ans ne constitue pas, en tant que tel, un motif suffisant de reconnaissance d'un cas de rigueur. Encore faut-il que l'étranger en remplisse les autres conditions (comportement irréprochable et bonne réputation, intégration sociale, professionnelle et scolaire, etc.). Cette circulaire se comprend comme l'indication à l'intention des autorités cantonales des conditions auxquelles l'autorité fédérale acceptera d'entrer en matière (TA, arrêt PE 2003/0170 du 30 janvier 2004). La jurisprudence du Tribunal fédérale rendue dans ce domaine reste ainsi pleinement applicable (v. consid. a ci-dessus). c) D'après les art. 52 litt. a et 53 OLE, l'Office fédéral des migrations (ODM) est seul compétent pour accorder de telles exceptions ( ATF 122 II 186 consid. 1b; 119 Ib 33 consid. 3a).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Pratiquement, l'application de l'art. 13 litt. f OLE suppose deux décisions, soit celle de l'autorité cantonale entendant délivrer, hors contingent, l'autorisation de séjour, et celle de l'autorité fédérale accordant l'exception aux mesures de limitation.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entre autres, arrêt TA PE.2003.0459 du 15 septembre 2004 et les références). Au fil de sa jurisprudence, le tribunal de céans s'est interrogé sur le point de savoir si et dans quelle mesure le travail sans autorisation (dit "clandestin") permet à l'autorité cantonale de refuser la transmission d'un dossier à l'ODM en vue d'une application de l'art. 13 litt. f OLE. A l’issue d'une séance de coordination du 24 septembre 2003 (v. art. 21 du Règlement organique du Tribunal administratif du 18 avril 1997), il a été décidé d’en rester à la règle selon laquelle le SPOP peut refuser une autorisation de séjour pour "des motifs valables tirés de la LSEE". Le travail sans autorisation constituant une infraction à la LSEE, il doit être considéré comme un tel motif, d'autant que celui-ci est expressément érigé en principe par l'art. 3 al. 3 RSEE prévoyant que l'étranger qui aura exercé une activité lucrative sans autorisation sera, en règle générale, contraint de quitter la Suisse. Ce principe est toutefois susceptible d'exception selon les termes de cette disposition. Dans ce cadre, si la requête d'un étranger tend à l'envoi de son dossier à l'ODM en vue de l'application de l'art. 13 litt. f OLE, le SPOP ne peut pas refuser simplement par référence à l'art. 3 al. 3 RSEE en invoquant les infractions commises, mais doit expliquer pourquoi une exception au principe n'entre pas en ligne de compte (notamment à la lumière des conditions définies par la circulaire Metzler ; v. par exemple arrêt TA PE.2003.0465 du 21 janvier 2005). S'il ne le fait pas, le tribunal de céans annule ce refus et renvoie le dossier pour une nouvelle décision dûment motivée. Si le refus est motivé, le tribunal en vérifie le bien-fondé et statue. Cette seconde hypothèse oblige ainsi le tribunal à examiner dans une certaine mesure la réalisation des conditions de l'art. 13 litt. f OLE, quand bien même l'application de cette disposition échappe normalement à sa compétence, de manière à vérifier si le SPOP était fondé à refuser une exception à la règle de l'art. 3 al. 3 RSEE.</w:t>
      </w:r>
    </w:p>
    <w:p>
      <w:r>
        <w:rPr>
          <w:b/>
        </w:rPr>
        <w:t>E. 6</w:t>
      </w:r>
    </w:p>
    <w:p>
      <w:r>
        <w:t>août 1999), ainsi qu’une attestation d’abonnement auprès des Transports publics de la région lausannoise. Compte tenu de ces pièces, on peut admettre qu’il est entré en Suisse en juin 1999. En juillet 2000, il s’est vu notifier une interdiction d’entrée en Suisse, ce qu’il l’a conduit à sortir une seule journée de notre pays. Peu après, soit le 20 octobre 2000, il a fait venir sa famille, soit sa compagne et leur enfant. Au moment où il a présenté sa demande de permis humanitaire, le 15 avril 2005, il totalisait près de six ans de présence suffisamment continue en Suisse, comme cela résulte de ses explications convaincantes, en particulier de l'énumération des emplois successivement occupés (totalisant à ses dires 58 mois) des extraits de son compte AVS (confirmant ses dires en ce qui concerne ses emplois chez E.________de mai à juillet 2003 et chez F.________ d’octobre 2003 à décembre 2004) et de ses abonnements TL (en dépit d’un « trou » en 2002). Actuellement, la durée de son séjour atteint six ans et demi, celui de sa compagne et de son fils un peu plus de cinq ans. Il est vrai que les membres de la famille n'ont fait l'objet d'aucune plainte, à l’exception des mesures rendues à l’encontre du recourant pour infraction à la LSEE, et que leur réputation est bonne. Ils affirment parler tous trois le français. Au surplus, les deux parents exercent une activité lucrative, Madame travaillant comme garde d'enfant et comme femme de ménage et Monsieur étant employé comme aide-peintre depuis près de deux ans auprès de la même entreprise. Financièrement autonomes, ils n'ont jamais eu recours à l'aide sociale et ne font pas l’objet de poursuites. Selon leurs dires, ils n'auraient pratiquement plus de famille proche dans leur pays d'origine. Toutefois, le recourant et sa compagne, âgés de trente-neuf ans et vingt-sept ans respectivement, ont vécu toute leur enfance et la plus grande partie de leur vie d’adulte dans leur pays d’origine, si bien qu’un renvoi ne devrait pas les exposer à des difficultés particulières, différentes de celles de beaucoup d’autres ressortissants équatoriens clandestins appelés à quitter notre pays. Par ailleurs, âgé de sept ans, l’enfant n’est pas encore avancé en âge ou en scolarité au point de ne pouvoir se réadapter à son pays d’origine. Surtout, il convient de souligner que le recourant ne s’est pas borné à séjourner et travailler sans autorisation en Suisse, mais a délibérément violé une interdiction d’entrée en Suisse dûment notifiée, ce qui constitue une infraction supplémentaire à la LSEE, dont il faut tenir compte même si celle-ci découle de son statut de clandestin. Par conséquent, les recourants ne se trouvent pas dans une situation exceptionnelle justifiant, en dépit des infractions commises, de transmettre leur dossier à l'ODM en vue d’une application de l’art. 13 litt. f OLE.</w:t>
      </w:r>
    </w:p>
    <w:p>
      <w:r>
        <w:rPr>
          <w:b/>
        </w:rPr>
        <w:t>E. 7</w:t>
      </w:r>
    </w:p>
    <w:p>
      <w:r>
        <w:t>Les recourants font valoir implicitement le principe de l'égalité de traitement, en invoquant le cas de nombreuses personnes qui auraient pu obtenir la régularisation de leur séjour après avoir vécu et travaillé plusieurs années sans autorisation en Suisse. Cette argumentation ne saurait toutefois être retenue. Le Tribunal administratif a rappelé que selon une jurisprudence bien connue (ATF 122 II 451 consid. 4), le principe de la légalité l'emporte sur celui de l'égalité, avec la conséquence que l'existence d'une ou deux décisions appliquant la loi d'une manière différente ne permet pas au justiciable d'exiger de bénéficier lui aussi d'un tel traitement. Ce n'est que lorsque l'autorité s'en tient de manière constante à une pratique contraire à la loi qu'un intéressé peut demander à bénéficier lui aussi de cette pratique (arrêt TA PE.2005.0205 du 11 juillet 2005 consid. 4). En l'espèce, tel n'est pas le cas, les recourants n'apportant au surplus pas la preuve de cas concrets, semblables au leur, qui auraient été traités de manière différente. Il résulte des considérants qui précèdent que le recours doit être rejeté et la décision attaquée confirmée. Succombant, les recourants doivent supporter les frais (art. 55 LJPA). Vu l'issue du pourvoi, un nouveau délai de départ doit leur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