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PE.2005.0434 vom 25. April 2006</w:t>
      </w:r>
    </w:p>
    <w:p>
      <w:r>
        <w:t>VD Tribunal cantonal, 2006-04-25, FR</w:t>
      </w:r>
    </w:p>
    <w:p>
      <w:r>
        <w:rPr>
          <w:b/>
        </w:rPr>
        <w:t xml:space="preserve">Quelle: </w:t>
      </w:r>
      <w:r>
        <w:t>https://mcp.opencaselaw.ch/entscheid/vd_omni_PE.2005.0434</w:t>
      </w:r>
    </w:p>
    <w:p>
      <w:r>
        <w:t>FR: VD_OMNI PE.2005.0434 du 25 avril 2006</w:t>
      </w:r>
    </w:p>
    <w:p>
      <w:r>
        <w:t>IT: VD_OMNI PE.2005.0434 del 25 aprile 2006</w:t>
      </w:r>
    </w:p>
    <w:p>
      <w:pPr>
        <w:pStyle w:val="Heading2"/>
      </w:pPr>
      <w:r>
        <w:t>Regeste</w:t>
      </w:r>
    </w:p>
    <w:p>
      <w:r>
        <w:t>X /Service de l'emploi Office cantonal de la main-d'oeuvre, Service de la population (SPOP) | Une sanction de trois mois viole le principe de la proportionnalité en l'absence de faute intentionnelle de l'employeur et faute d'avertissement préalable. La décision de l'OCMP est annulée et le dossier renvoyé à l'autorité intimée pour qu'elle adresse une sommation à l'employeur. Recours admis.</w:t>
      </w:r>
    </w:p>
    <w:p>
      <w:pPr>
        <w:pStyle w:val="Heading2"/>
      </w:pPr>
      <w:r>
        <w:t>Erwägungen</w:t>
      </w:r>
    </w:p>
    <w:p>
      <w:r>
        <w:rPr>
          <w:b/>
        </w:rPr>
        <w:t>E. 1</w:t>
      </w:r>
    </w:p>
    <w:p>
      <w:r>
        <w:t>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En l’espèce, l’infraction n’est pas contestée. Seule l’adéquation de la mesure est discutée par la recourante.</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w:t>
      </w:r>
    </w:p>
    <w:p>
      <w:r>
        <w:rPr>
          <w:b/>
        </w:rPr>
        <w:t>E. 3</w:t>
      </w:r>
    </w:p>
    <w:p>
      <w:r>
        <w:t>Les directives et commentaires de l’Office fédéral des migrations intitulés entrée, séjour et marché du travail, du 1 er février 2004, prévoient à leur chiffre 487, ce qui suit : « (…)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w:t>
      </w:r>
    </w:p>
    <w:p>
      <w:r>
        <w:rPr>
          <w:b/>
        </w:rPr>
        <w:t>E. 4</w:t>
      </w:r>
    </w:p>
    <w:p>
      <w:r>
        <w:t>La recourante plaide la négligence de l’un de ses collaborateurs du fait que A.________ lui avait été recommandé par une agence de placement temporaire (v. lettre de Manpower SA du 25 juillet 2003 accompagnée du certificat de travail de Y.________ SA du 27 novembre 2002). Elle explique que lors de son entretien d’embauche, cet étranger lui a assuré être au bénéfice d’un permis. La recourante se prévaut du fait qu’elle a rattrapé auprès du fisc le paiement des arriérés d’impôt à la source. Elle considère que la sanction de l’OCMP est excessive en l’absence de faute intentionnelle de sa part. Elle rappelle que chaque année, elle sollicite une quarantaine de permis et qu’il s’agit d’un manquement unique. Elle invoque enfin le fait que la sanction aura des conséquences économiques gravissimes sur la marche des affaires de la succursale de 1********, et pourrait même entraîner des licenciements.</w:t>
      </w:r>
    </w:p>
    <w:p>
      <w:r>
        <w:rPr>
          <w:b/>
        </w:rPr>
        <w:t>E. 5</w:t>
      </w:r>
    </w:p>
    <w:p>
      <w:r>
        <w:t>Quand bien même A.________  était encore au bénéfice d’un statut légal au moment de son engagement, la société n’était pas autorisée à l’employer sans autre formalité. En effet, elle devait déposer une demande de main d’œuvre étrangère et attendre la décision des autorités. La faute du collaborateur de la société est imputable à celle-ci. Le manquement paraît d’autant plus incompréhensible que la société est coutumière de ce genre de démarches, selon ses explications. Elle devait être d’autant plus vigilante qu’il s’agissait d’un ressortissant extracommunautaire. Dans le cadre de l’appréciation de l’adéquation de la sanction, il faut tenir compte à la décharge de la recourante qu’elle n’a jamais fait l’objet d’un avertissement préalable par une sommation. La faute de la recourante n’est pas aussi grave que celle commise par l’employeur qui passe outre une décision de refus de l’autorité, hypothèse dans laquelle le tribunal de céans a confirmé une sanction d’une durée de trois mois en l’absence d’avertissement préalable (TA, arrêt PE.2005.0138 du 13 février 2006). En l’espèce, il apparaît qu’en l’absence de faute intentionnelle, la décision attaquée est excessivement sévère. Procédant d’un abus du pouvoir d’appréciation de l’OCMP, la sanction incriminée, qui viole le principe de la proportionnalité, doit être réformée en ce sens qu’une sommation doit être adressée à la recourante en lieu et place de la mesure attaquée.</w:t>
      </w:r>
    </w:p>
    <w:p>
      <w:r>
        <w:rPr>
          <w:b/>
        </w:rPr>
        <w:t>E. 6</w:t>
      </w:r>
    </w:p>
    <w:p>
      <w:r>
        <w:t>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