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PE.2005.0433 vom 13. September 2005</w:t>
      </w:r>
    </w:p>
    <w:p>
      <w:r>
        <w:t>VD Tribunal cantonal, 2005-09-13, FR</w:t>
      </w:r>
    </w:p>
    <w:p>
      <w:r>
        <w:rPr>
          <w:b/>
        </w:rPr>
        <w:t xml:space="preserve">Quelle: </w:t>
      </w:r>
      <w:r>
        <w:t>https://mcp.opencaselaw.ch/entscheid/vd_omni_PE.2005.0433</w:t>
      </w:r>
    </w:p>
    <w:p>
      <w:r>
        <w:t>FR: VD_OMNI PE.2005.0433 du 13 septembre 2005</w:t>
      </w:r>
    </w:p>
    <w:p>
      <w:r>
        <w:t>IT: VD_OMNI PE.2005.0433 del 13 settembre 2005</w:t>
      </w:r>
    </w:p>
    <w:p>
      <w:pPr>
        <w:pStyle w:val="Heading2"/>
      </w:pPr>
      <w:r>
        <w:t>Regeste</w:t>
      </w:r>
    </w:p>
    <w:p>
      <w:r>
        <w:t>X.____________, Y.____________/Service de la population (SPOP), Service de l'emploi Office cantonal de la main-d'oeuvre | L'entreprise recourante souhaite engager un ressortissant kosovar alors même qu'il n'est pas démontré qu'elle aurait procédé à des recherches pour trouver un collaborateur sur le marché suisse et européen du travail (art. 7 al. 1 OLE). De plus, il n'est pas non plus établi que l'employé potentiel disposerait d'une formation ou d'une expérience professionelles dans le domaine d'activité de son employeur, ni enfin, à supposer que tel serait le cas, que des motifs particuliers justifient une exception à l'art. 8 al. 3 litt. a OLE.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 20 jours dès la communication de la décision attaquée. En l’espèce, le recours a été déposé en temps utile et satisfait aux conditions formelles énoncées à l’art. 31 al. 2 et 3 LJPA. En outre, la société recourante en sa qualité d’employeur potentiel d’Y._____________ (cf. art. 53 al. 4 OLE) ainsi qu’Y._____________ en personne, ont qualité pour recourir,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w:t>
      </w:r>
    </w:p>
    <w:p>
      <w:r>
        <w:rPr>
          <w:b/>
        </w:rPr>
        <w:t>E. 5</w:t>
      </w:r>
    </w:p>
    <w:p>
      <w:r>
        <w:t>La délivrance des autorisations de travail à des étrangers désireux d'exercer une activité lucrative en Suisse est soumise à un système de contingentement prévu aux art. 12 ss 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Pour les séjours d'une durée supérieure à un an, les cantons peuvent délivrer des autorisations de séjour à l'année dans les limites des nombres maximums mentionnés dans l'appendice à l'OLE 1, al. 1, let. a. A titre d’exemple, pour le canton de Vaud, ce contingent s’élevait, pour la période comprise entre le 1er novembre 2003 et le 31 octobre 2004, à 165 unités (selon le ch. II de l'Ordonnance limitant le nombre des étrangers du 30 octobre 2002, al. 1 let. a, RO 2002 p. 1778, modifié la dernière fois le 22 octobre 2003). Une telle limitation impose nécessairement à l'autorité cantonale de gérer son contingent pour être à même de disposer d'unités tout au long de l'année et d'éviter qu'une pénurie ne sévisse au cours de périodes contingentaires (cf. arrêts TA PE 2000.0298 et PE 2000.0314 du 25 septembre 2002; PE 2000.0356 du 9 octobre 2000 et PE 2000.0396 du 30 octobre 2002).</w:t>
      </w:r>
    </w:p>
    <w:p>
      <w:r>
        <w:rPr>
          <w:b/>
        </w:rPr>
        <w:t>E. 6</w:t>
      </w:r>
    </w:p>
    <w:p>
      <w:r>
        <w:t>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l'art. 8 al. 1 OLE, les ressortissants des Etats membres de l'UE et de l'AELE bénéficient également du principe de la priorité (cf. également les Directives sur l'entrée, le séjour et le marché du travail de l'Office fédéral des migrations, anciennement IMES, applicables en la matière, état février 2004). L'admission de ressortissants des Etats tiers n'est possible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w:t>
      </w:r>
    </w:p>
    <w:p>
      <w:r>
        <w:rPr>
          <w:b/>
        </w:rPr>
        <w:t>E. 7</w:t>
      </w:r>
    </w:p>
    <w:p>
      <w:r>
        <w:t>Dans le cas présent, il n'est pas litigieux qu'Y._____________ n’est pas originaire d’un pays membre de l’UE/AELE. Les recourants n’allèguent cependant pas avoir effectué sans succès des recherches pour trouver un collaborateur sur le marché suisse et européen du travail. Aucune pièce au dossier ne permet par ailleurs de conclure que l’employeur potentiel d’Y._____________ aurait procédé à de telles investigations. Dès lors, le tribunal conclut que c’est, sinon par pure convenance personnelle, à tout le moins par pure opportunité que le choix de X._____________ s’est porté sur Y._____________ et non sur les personnes disponibles sur le marché suisse ou européen du travail. La rigueur dont il convient de faire preuve dans l’interprétation du principe de la priorité des demandeurs d’emplois indigènes ou ressortissants des Etats membres de l’UE/AELE ne permet donc pas de s’écarter de la décision négative de l’OCMP.</w:t>
      </w:r>
    </w:p>
    <w:p>
      <w:r>
        <w:rPr>
          <w:b/>
        </w:rPr>
        <w:t>E. 8</w:t>
      </w:r>
    </w:p>
    <w:p>
      <w:r>
        <w:t>Indépendamment de ce qui précède, la demande doit également être rejetée au regard des exigences de l'art. 8 al. 1 et 3 OLE. Selon cette disposition, une autorisation initiale peut être accordée aux travailleurs ressortissants des Etats membres de l’UE, conformément à l'accord sur la libre circulation des personnes, et aux ressortissants des Etats membres de l’AELE, conformément à la Convention instituant l'AELE (al. 1). Lors de la décision préalable à l'octroi des autorisations, les offices de l'emploi peuvent cependant admettre des exceptions lorsqu'il s'agit de personnel qualifié et que des motifs particuliers le justifient (art. 8 al. 3 let. a OLE). En l'espèce, comme rappelé ci-dessus, Y._____________, citoyen kosovar, n’est pas ressortissant d’un des pays mentionnés à l’art. 8 al. 1 OLE, de sorte que la seule possibilité d’envisager une éventuelle délivrance de l’autorisation requise serait celle visée à l’art. 8 al. 3 let. a OLE. Dans sa jurisprudence relative à l’application de cette disposition, le Tribunal administratif s’est toujours montré relativement strict (cf. notamment arrêts TA PE 1993.0443 du 11 mars 1994, PE 2000.0180 du 28 août 2000 et PE 2000.0466 du 21 novembre 2000). Il a ainsi précisé qu’il fallait entendre par personnel qualifié les ressortissants étrangers au bénéfice de connaissances professionnelles si spécifiques qu’il ne serait pas possible de les recruter au sein de l’UE ou de l’AELE. En l’occurrence, les recourants n’a jamais établi d'une quelconque manière que l'intéressé disposerait d’une formation dans le domaine de l’imprimerie, ni même d’une expérience professionnelle en la matière. Aucune pièce n’a été produite dans ce sens, ni à l’appui de la demande ni à l’appui du recours, et la seule appréciation de l’employeur potentiel selon lequel Y._____________ serait un excellent élément ne permet pas de conclure que l'intéressé disposerait d’une formation dans le domaine considéré. Au surplus, le salaire offert de 20 fr. 60 brut/heure (cf. attestation produite pour la période du 26 juin au 19 juillet 2004) est un indice supplémentaire tendant à démontrer que l’on ne se trouve pas en présence d’un personne hautement qualifiée au sens où l’entend la disposition susmentionnée. Enfin, même à supposer qu’Y._____________ remplisse les exigences relatives à la notion de personnel qualifié au sens décrit ci-dessus, il faudrait encore que des motifs particuliers justifient une exception, comme l’exige l’art. 8 al. 3 litt. a OLE, dont les conditions sont cumulatives. Or, dans le cas présent, il n’existe aucun autre motif particulier différent de ce que pourrait invoquer tout étranger souhaitant travailler dans notre pays. Cela étant, c’est à nouveau à juste titre que l’autorité intimée n’a pas fait usage de la possibilité offerte par l’art. 8 al. 3 litt. a OLE.</w:t>
      </w:r>
    </w:p>
    <w:p>
      <w:r>
        <w:rPr>
          <w:b/>
        </w:rPr>
        <w:t>E. 9</w:t>
      </w:r>
    </w:p>
    <w:p>
      <w:r>
        <w:t>En définitive, la décision entreprise est pleinement justifiée, la demande litigieuse ne remplissant ni les conditions de l’art. 7 OLE, ni celles de l’art. 8 OLE. L’OCMP n’a par ailleurs ni abusé ni excédé de son pouvoir d’appréciation en refusant de délivrer l’autorisation requise. Au surplus, il n’y a en l’état pas lieu de suspendre la présente procédure jusqu’à droit connu sur la demande de permis humanitaire présentée au SPOP le 11 juin 2005 par Y._____________ dans la mesure où la présente décision ne préjuge en rien les éventuels droits de l’intéressé dans le cadre de cette seconde procédure. En conséquence, Le recours doit dès lors être rejeté et la décision attaquée maintenue. Vu l’issue du pourvoi, les frais du présent arrêt seront mis à la charge des recourants qui, pour les même raisons,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