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PE.2005.0417 vom 3. März 2006</w:t>
      </w:r>
    </w:p>
    <w:p>
      <w:r>
        <w:t>VD Tribunal cantonal, 2006-03-03, FR</w:t>
      </w:r>
    </w:p>
    <w:p>
      <w:r>
        <w:rPr>
          <w:b/>
        </w:rPr>
        <w:t xml:space="preserve">Quelle: </w:t>
      </w:r>
      <w:r>
        <w:t>https://mcp.opencaselaw.ch/entscheid/vd_omni_PE.2005.0417</w:t>
      </w:r>
    </w:p>
    <w:p>
      <w:r>
        <w:t>FR: VD_OMNI PE.2005.0417 du 3 mars 2006</w:t>
      </w:r>
    </w:p>
    <w:p>
      <w:r>
        <w:t>IT: VD_OMNI PE.2005.0417 del 3 marzo 2006</w:t>
      </w:r>
    </w:p>
    <w:p>
      <w:pPr>
        <w:pStyle w:val="Heading2"/>
      </w:pPr>
      <w:r>
        <w:t>Regeste</w:t>
      </w:r>
    </w:p>
    <w:p>
      <w:r>
        <w:t>X /Service de la population (SPOP) | Une équatorienne désire une autorisation de séjour pour vivre auprès de son fils. Le fait d'être entrée en Suisse sans visa justifie le refus d'une quelconque autorisation. De plus, la recourante ne remplit ni les conditions de l'art. 34 OLE, ni celles de l'art. 36 OLE.</w:t>
      </w:r>
    </w:p>
    <w:p>
      <w:pPr>
        <w:pStyle w:val="Heading2"/>
      </w:pPr>
      <w:r>
        <w:t>Erwägungen</w:t>
      </w:r>
    </w:p>
    <w:p>
      <w:r>
        <w:rPr>
          <w:b/>
        </w:rPr>
        <w:t>E. 18</w:t>
      </w:r>
    </w:p>
    <w:p>
      <w:r>
        <w:t>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 Selon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4.                D'après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 5.                En l'espèce, il n'est pas contestable que la recourante, d'origine équatorienne, devait se procurer un visa dès lors qu'elle avait l'intention d'effectuer en Suisse un séjour supérieur à trois mois. Son fils et sa belle-fille auraient aussi pu se renseigner et se prémunir assez aisément de la situation dans laquelle la recourante se trouve aujourd'hui et qui, conformément à la jurisprudence du Tribunal fédéral justifie de ne pas entrer en matière sur la délivrance d'une quelconque autorisation de séjour, sous peine de priver le contrôle de l'immigration de tout effet (voir arrêt PE.2001.0034 du 8 juin 2001 et les réf. cit.). 6.                Par surabondance, on relèvera qu'en vertu de l'art. 34 lit. a de l'Ordonnance limitant le nombre d'étrangers (OLE) une autorisation de séjour peut être accordée à un rentier, lorsque celui-ci dispose des moyens financiers nécessaires. Ces moyens doivent être personnels (voir arrêt PE.1992.0250, et non pas ceux mis à disposition de l'étranger par un tiers). En l'occurrence, la recourante n'a aucune ressources financières propres. 7.                Enfin, selon l'art. 36 OLE une autorisation de séjour peut être accordée à un étranger qui n'exerce pas d'activité lucrative lorsque des raisons importantes l'exigent. En l'occurrence de tels motifs sont inexistants; la recourante ne démontre pas qu'elle doive suivre un traitement médical en Suisse, par exemple. Par ailleurs, sa famille peut parfaitement la soutenir alors même qu'elle se trouve dans son pays d'origine, en lui faisant parvenir une aide financière. 8.                Il résulte des considérants qui précèdent que la décision entreprise se révèle bien fondée de sorte qu'elle sera maintenue, ce qui conduit au rejet du recours. Vu l'issue du pourvoi, un nouveau délai sera imparti à la recourante pour quitter le territoire vaudois. Enfin, un émolument judiciaire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