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PE.2005.0391 vom 29. November 2005</w:t>
      </w:r>
    </w:p>
    <w:p>
      <w:r>
        <w:t>VD Tribunal cantonal, 2005-11-29, FR</w:t>
      </w:r>
    </w:p>
    <w:p>
      <w:r>
        <w:rPr>
          <w:b/>
        </w:rPr>
        <w:t xml:space="preserve">Quelle: </w:t>
      </w:r>
      <w:r>
        <w:t>https://mcp.opencaselaw.ch/entscheid/vd_omni_PE.2005.0391</w:t>
      </w:r>
    </w:p>
    <w:p>
      <w:r>
        <w:t>FR: VD_OMNI PE.2005.0391 du 29 novembre 2005</w:t>
      </w:r>
    </w:p>
    <w:p>
      <w:r>
        <w:t>IT: VD_OMNI PE.2005.0391 del 29 novembre 2005</w:t>
      </w:r>
    </w:p>
    <w:p>
      <w:pPr>
        <w:pStyle w:val="Heading2"/>
      </w:pPr>
      <w:r>
        <w:t>Regeste</w:t>
      </w:r>
    </w:p>
    <w:p>
      <w:r>
        <w:t>X/Service de la population (SPOP) Division asile | Révocation d'une autorisation d'exercer une activité lucrative pour un requérant d'asile débouté confirmée; conformément à l'art. 43 al. 2 LAsi et à l'abrogation du volet asile de la circulaire du 21 décembre 2001, l'usage d'une voie de droit extraordinaire qui a conduit à la suspension de l'exécution du renvoi ne permet pas au requérant d'asile débouté de poursuivre son activité lucrative.</w:t>
      </w:r>
    </w:p>
    <w:p>
      <w:pPr>
        <w:pStyle w:val="Heading2"/>
      </w:pPr>
      <w:r>
        <w:t>Erwägungen</w:t>
      </w:r>
    </w:p>
    <w:p>
      <w:r>
        <w:rPr>
          <w:b/>
        </w:rPr>
        <w:t>E. 1</w:t>
      </w:r>
    </w:p>
    <w:p>
      <w:r>
        <w:t>Au préalable, la question se pose de savoir si le courrier du 30 juin 2005 qui fait l’objet du recours constitue une véritable décision administrative au sens de l’art. 4 al. 1 LJPA. Ce courrier confirme le contenu d’un pli antérieur, selon lequel l’autorisation de travail du recourant serait prochainement révoquée, qu’il lui est interdit de prendre une nouvelle activité lucrative, et que son employeur serait informé du délai au terme duquel il devrait mettre fin aux rapports de travail ; les motifs qui fondent cette prise de position sont également exposés. Ainsi, même si le courrier du 30 juin 2005 réserve les modalités d’exécution, il s’agit bien d’un acte susceptible de recours, car la décision de principe de révoquer son autorisation de travail est communiquée au recourant.</w:t>
      </w:r>
    </w:p>
    <w:p>
      <w:r>
        <w:rPr>
          <w:b/>
        </w:rPr>
        <w:t>E. 2</w:t>
      </w:r>
    </w:p>
    <w:p>
      <w:r>
        <w:t>LAsi, le 15 décembre 2001. En effet, son recours contre la décision de l’ODM du 15 décembre 2000 a été rejeté par la CRA le 18 septembre 2001 et un délai de départ au 15 décembre 2001 a été imparti au recourant pour quitter la Suisse. Depuis cette date, il n’a pu demeurer dans ce pays qu’au moyen de procédures extraordinaires. Le fait que la CRA ait suspendu l’exécution de son renvoi à la suite du recours déposé le 13 avril 2005 contre la décision de l’ODM du même jour ne saurait permettre au recourant d’exercer une activité lucrative en Suisse. En effet, la décision du CRA n’est qu’une décision incidente octroyant l’effet suspensif au recours, lequel est dirigé contre le rejet d’un moyen de droit extraordinaire (réexamen). Ainsi, conformément à l’art. 43 al. 2 LAsi et à l’abrogation du volet asile de la circulaire du 21 décembre 2001, le recourant n’est plus autorisé à exercer une activité lucrative en Suisse depuis le 16 décembre 2001 (cf. arrêt TA PE 2001/0403 du 9 novembre 2001). Les arguments soulevés par le recourant, soit le fait que cette disposition serait anticonstitutionnelle et contraire au Pacte international relatif aux droits économiques, sociaux et culturels, sont totalement dénués de pertinence. D’une part, le juge n’est pas habilité à contrôler la constitutionnalité d’une loi fédérale (ATF 121 V 229 consid. 2 et les arrêts cités), et d’autre part, le recourant étant sous le coup d’une décision de refus de l’asile définitive et exécutoire, il n’y a pas de place en l’espèce pour un débat sur la liberté économique.</w:t>
      </w:r>
    </w:p>
    <w:p>
      <w:r>
        <w:rPr>
          <w:b/>
        </w:rPr>
        <w:t>E. 3</w:t>
      </w:r>
    </w:p>
    <w:p>
      <w:r>
        <w:t>Il résulte des considérants qui précèdent que le recours doit être rejeté dans la mesure où il est recevable et la décision attaquée maintenue. Au vu de l’issue du recours, un émolument de justice fixé à 500 fr. est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