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PE.2005.0379 vom 10. Februar 2006</w:t>
      </w:r>
    </w:p>
    <w:p>
      <w:r>
        <w:t>VD Tribunal cantonal, 2006-02-10, FR</w:t>
      </w:r>
    </w:p>
    <w:p>
      <w:r>
        <w:rPr>
          <w:b/>
        </w:rPr>
        <w:t xml:space="preserve">Quelle: </w:t>
      </w:r>
      <w:r>
        <w:t>https://mcp.opencaselaw.ch/entscheid/vd_omni_PE.2005.0379</w:t>
      </w:r>
    </w:p>
    <w:p>
      <w:r>
        <w:t>FR: VD_OMNI PE.2005.0379 du 10 février 2006</w:t>
      </w:r>
    </w:p>
    <w:p>
      <w:r>
        <w:t>IT: VD_OMNI PE.2005.0379 del 10 febbraio 2006</w:t>
      </w:r>
    </w:p>
    <w:p>
      <w:pPr>
        <w:pStyle w:val="Heading2"/>
      </w:pPr>
      <w:r>
        <w:t>Regeste</w:t>
      </w:r>
    </w:p>
    <w:p>
      <w:r>
        <w:t>X /Service de la population (SPOP) | Le ressortissant camerounais entré en Suisse au bénéfice d'un visa de touriste et qui a séjourné illégalement dans le pays durant plus d'une année sans s'annoncer à l'autorité compétente n'a pas respecté les termes de son visa et a violé l'art. 2 LSEE. Pour ces motifs, le refus du SPOP de délivrer une autorisation de séjour pour études est justifiée.</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 4.                La question des formalités à accomplir avant d’entrer en Suisse est réglée par l’Ordonnance du 14 janvier 1998 concernant l’entrée et la déclaration d’arrivée des étrangers (OEArr). L’article 3 de cette ordonnance pose comme principe que tout étranger doit avoir un visa pour entrer en Suisse. Tel est le cas d’un ressortissant camerounais. Selon l’article 11 alinéa 3 OEArr, l’étranger est lié par les indications qui figurent dans son visa concernant le but de son voyage et de son séjour. Les Directives de l’Office fédéral des migrations précisent qu’en principe aucune autorisation de séjour ne sera délivrée à l’étranger qui n’est pas muni d’un visa. Ceci est en particulier valable lorsque le visa a été délivré en application de l’article 11 alinéa 1 OEArr (tourisme, visite, entretien d’affaires, etc.), et que l’étranger souhaite modifier le but de son séjour. Des dérogations à cette règle sont toutefois possibles dans des situations particulières, notamment en faveur d’étranger possédant un droit à une autorisation de séjour en Suisse (articles 7 et 17 LSEE). 5.                En l’espèce, le recourant est entré dans notre pays au bénéfice d’un visa de tourisme. Conformément à la jurisprudence constante du Tribunal administratif, la violation des prescriptions applicables en matière de visa est de nature à justifier le refus de toute autorisation de séjour (voir parmi d’autres, arrêt PE 2003.407 du 14 mai 2004). Il n’existe en l’occurrence aucune circonstance particulière justifiant de déroger à cette règle. Pour ce motif déjà, le recours se révèle mal fondé. 6.                Par surabondance, le recourant est demeuré illégalement en Suisse durant plus d’une année, sans s’annoncer à l’autorité compétente. Il a de ce fait commis une grave infraction à l’article 2 LSEE, lequel impose à l’étranger de déclarer dans les trois mois son arrivée en Suisse. Ce délai est même ramené à huit jours pour les étrangers qui sont entrés dans l’intention de prendre domicile en Suisse, ce qui paraît bien être le cas du recourant. Cette infraction justifie également le refus prononcé par l’autorité intimée. 7.                Les considérants qui précèdent conduisent au rejet du recours. L’émolument de procédure sera mis à la charge du recourant qui succombe, lequel, pour même motif ne peut prétendre à l’allocation de dépens. Un nouveau délai de départ sera imparti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