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PE.2005.0361 vom 17. Februar 2006</w:t>
      </w:r>
    </w:p>
    <w:p>
      <w:r>
        <w:t>VD Tribunal cantonal, 2006-02-17, FR</w:t>
      </w:r>
    </w:p>
    <w:p>
      <w:r>
        <w:rPr>
          <w:b/>
        </w:rPr>
        <w:t xml:space="preserve">Quelle: </w:t>
      </w:r>
      <w:r>
        <w:t>https://mcp.opencaselaw.ch/entscheid/vd_omni_PE.2005.0361</w:t>
      </w:r>
    </w:p>
    <w:p>
      <w:r>
        <w:t>FR: VD_OMNI PE.2005.0361 du 17 février 2006</w:t>
      </w:r>
    </w:p>
    <w:p>
      <w:r>
        <w:t>IT: VD_OMNI PE.2005.0361 del 17 febbraio 2006</w:t>
      </w:r>
    </w:p>
    <w:p>
      <w:pPr>
        <w:pStyle w:val="Heading2"/>
      </w:pPr>
      <w:r>
        <w:t>Regeste</w:t>
      </w:r>
    </w:p>
    <w:p>
      <w:r>
        <w:t>X. c/Service de l'emploi Office cantonal de la main-d'oeuvre, Service de la population (SPOP) | Refus de l'OCMP d'entrer sur toute demande de main d'oeuvre étrangère du recourant pendant une durée de 8 mois confirmé, à la suite d'une troisième dénonciation. Recours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rendues en matière de police des étrangers. D'après l'art. 31 al. 1 LJPA, le recours s'exerce par acte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2.         Faute pour la LSEE d'étendre le pouvoir d'examen de l'autorité de recours à l'opportunité, le Tribunal administratif n'exerce qu'un contrôle en légalité, c'est-à-dire qu'il examine si la décision entreprise est contraire à une disposition légale ou réglementaire expresse ou relève d'un excès ou d'un abus du pouvoir d'appréciation (art. 36 lit. a et c LJPA; cf. parmi d'autres arrêts TA PE 2003/0240 du 4 novembre 2003, et les réf. citées).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3.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Dans le cas particulier, le recourant argue du fait que l’étranger concerné était titulaire d’un permis N valable au moment de son engagement et qu’il a renoncé à poursuivre la collaboration avec celui-ci avant la dénonciation à l’origine de la décision attaquée. En l’occurrence, le statut légal, mais au demeurant précaire, de C.________, n’autorisait pas son engagement par le recourant sans autre formalité. L’employeur n’était pas dispensé d’effectuer les démarches nécessaires, de surcroît avant que ne débutent les rapports de service. Il en résulte que l’employeur a incontestablement enfreint notamment l’obligation d’annonce qui lui incombait. 4.         Indépendamment de la sanction pénale, prévue par l'art. 23 al. 4 LSEE, l'employeur s'expose à une sanction administrative, soit en l'occurrence celle aménagée par l'art. 55 OLE, dont les al. 1 et 2 ont la teneur suivante : "1. Si un employeur enfreint à plusieurs reprises ou gravement les prescriptions du droit des étrangers, l'Office cantonal de l'emploi rejettera totalement ou partiellement ses demandes, indépendamment de la procédure pénale.</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 Les directives de l’IMES, actuellement ODM, prévoient à leur chiffre 487, ce qui suit :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 Le recourant fait valoir qu’il a mis fin à l’engagement de l’étranger concerné avant la dénonciation à l’origine de la décision attaquée. Il ne résulte en tous cas rien de tel du rapport de gendarmerie du 28 mai 2005 qui a été établi après que B. X.________ ait été entendu téléphoniquement. Cet élément, qui aurait pu constituer une circonstance atténuante dans le cadre de l’appréciation de la gravité des faits et de la faute, ne peut pas être retenu, en l’état, faute d’être établi à satisfaction de droit. Il faut par ailleurs constater que le recourant n’allègue en revanche pas que les charges sociales auraient été acquittées. Le dossier ne permet pas non plus de connaître l’effectif du personnel de l’établissement et d’apprécier en conséquence l’impact de la décision attaquée sur l’organisation de l’entreprise. Dans la mesure où l’employeur n’invoque rien non plus à cet égard, on peut présumer que la taille de son établissement est relativement importante et que la mesure litigieuse n’a pas de conséquences sérieuses pour l’ensemble du personnel. Il faut relever que l’employeur a déjà fait l’objet de deux mesures dans le cadre de l’art. 55 OLE, soit une sommation en 2003 et une décision de non-entrée en matière pour une durée de six mois en 2004. Les faits incriminés se sont produits deux mois à peine après l’échéance du délai de récidive d’une année fixé par l’OCMP. Force est ainsi de constater que le recourant n’a pas tenu compte des sanctions dont il avait fait l’objet jusqu’ici. Une sanction plus grave se justifie. Tout bien considéré, il apparaît que l'autorité intimée n'a pas abusé de son pouvoir d'appréciation, si bien que la décision querellée doit être maintenue. Le recours sera en conséquent rejeté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