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PE.2005.0324 vom 4. September 2006</w:t>
      </w:r>
    </w:p>
    <w:p>
      <w:r>
        <w:t>VD Tribunal cantonal, 2006-09-04, FR</w:t>
      </w:r>
    </w:p>
    <w:p>
      <w:r>
        <w:rPr>
          <w:b/>
        </w:rPr>
        <w:t xml:space="preserve">Quelle: </w:t>
      </w:r>
      <w:r>
        <w:t>https://mcp.opencaselaw.ch/entscheid/vd_omni_PE.2005.0324</w:t>
      </w:r>
    </w:p>
    <w:p>
      <w:r>
        <w:t>FR: VD_OMNI PE.2005.0324 du 4 septembre 2006</w:t>
      </w:r>
    </w:p>
    <w:p>
      <w:r>
        <w:t>IT: VD_OMNI PE.2005.0324 del 4 settembre 2006</w:t>
      </w:r>
    </w:p>
    <w:p>
      <w:pPr>
        <w:pStyle w:val="Heading2"/>
      </w:pPr>
      <w:r>
        <w:t>Regeste</w:t>
      </w:r>
    </w:p>
    <w:p>
      <w:r>
        <w:t>c/Service de la population (SPOP) | Recours admis : les éléments permettant de conclure à un abus de droit pour permettre une révocation de l'autorisation de séjour du recourant ne sont pas démontrés à satisfaction par l'autorité intimée. RA</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dans le délai de 20 jours qui suit la communication de la décision entreprise, le recours l'est en temps utile (art. 31 LJPA). Il est ainsi recevable à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4</w:t>
      </w:r>
    </w:p>
    <w:p>
      <w:r>
        <w:t>La décision attaquée révoque l’autorisation de séjour délivrée au recourant dans le but de vivre auprès de son épouse. a) Selon l’art. 7 al. 1 LSEE, le conjoint étranger d’un ressortissant suisse a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 127 II 49 consid. 5a p. 56 ; 121 II 97 consid. 4a p. 103). b) Il y a abus de droit notamment lorsqu’une institution juridique est utilisée à l’encontre de son but pour réaliser des intérêts que cette institution juridique ne veut pas protéger (ATF 130 II 113 consid. 4.2 p. 117 et les arrêts cités). L’existence d’un éventuel abus de droit doit être apprécié dans chaque cas particulier et avec retenue, seul l’abus de droit manifeste pouvant être pris en considération (ATF 121 II 97 consid. 4a p. 103). Comme le relève à juste titre le recourant, l’existence d’un abus de droit ne peut en particulier être simplement déduite de ce que les époux ne vivent plus ensemble, puisque le législateur a volontairement renoncé à faire dépendre le droit à une autorisation de séjour de la vie commune (cf. ATF 118 lb 145 consid. 3 p. 149 ss.).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130 II consid. 4.2 et références citées).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le recourant s'est marié le 13 juillet 2001 avec son épouse et la séparation est intervenue en juillet 2004, soit près de 3 ans plus tard. Au moment où la décision entreprise a été rendue, aucun élément du dossier ne permettait de conclure à ce qu'une procédure de divorce était en cours. Au contraire, les déclarations de l'épouse du recourant devant la police au mois d'avril 2005 laissent apparaître que, même si elle a consulté un avocat, elle n'a entrepris aucune démarche judiciaire. En présence d'une vie conjugale menée en commun par les époux pendant 3 ans, l'autorité intimée se devait de démontrer l'existence d'éléments concrets indiquant que le mariage était maintenu uniquement pour des motifs de police des étrangers. Lorsque l'on est en présence d'une communauté conjugale réellement vécue pendant une telle durée, on ne saurait admettre à la légère l'existence d'un abus de droit à obtenir une autorisation de séjour si d'autres indices concrets d'un tel abus ne sont pas démontrés à satisfaction de droit. A cet égard, l'audition de l'épouse du recourant ne permet pas d'arriver à cette conclusion dans la mesure notamment où même si elle se pose la question de savoir si leur union n'était pas destinée à obtenir un permis de séjour, elle n'y répond pas par l'affirmative et ajoute qu'elle a encore des contacts avec son mari. A cela s'ajoute encore le fait qu'elle n'a entrepris aucune démarche judiciaire en vue d'un divorce ou dans le but de régler les modalités de la séparation du couple. Force est dès lors de constater que sur la base des éléments figurant au dossier, l'autorité intimée a abusé de son pouvoir d'appréciation en révoquant, avant son échéance, le permis de séjour du recourant.</w:t>
      </w:r>
    </w:p>
    <w:p>
      <w:r>
        <w:rPr>
          <w:b/>
        </w:rPr>
        <w:t>E. 5</w:t>
      </w:r>
    </w:p>
    <w:p>
      <w:r>
        <w:t>Vu ce qui précède, le recours doit être admis et la décision entreprise annulée. Obtenant gain de cause avec l'assistance d'un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