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PE.2005.0266 vom 27. Juli 2005</w:t>
      </w:r>
    </w:p>
    <w:p>
      <w:r>
        <w:t>VD Tribunal cantonal, 2005-07-27, FR</w:t>
      </w:r>
    </w:p>
    <w:p>
      <w:r>
        <w:rPr>
          <w:b/>
        </w:rPr>
        <w:t xml:space="preserve">Quelle: </w:t>
      </w:r>
      <w:r>
        <w:t>https://mcp.opencaselaw.ch/entscheid/vd_omni_PE.2005.0266</w:t>
      </w:r>
    </w:p>
    <w:p>
      <w:r>
        <w:t>FR: VD_OMNI PE.2005.0266 du 27 juillet 2005</w:t>
      </w:r>
    </w:p>
    <w:p>
      <w:r>
        <w:t>IT: VD_OMNI PE.2005.0266 del 27 luglio 2005</w:t>
      </w:r>
    </w:p>
    <w:p>
      <w:pPr>
        <w:pStyle w:val="Heading2"/>
      </w:pPr>
      <w:r>
        <w:t>Regeste</w:t>
      </w:r>
    </w:p>
    <w:p>
      <w:r>
        <w:t>c/Service de la population (SPOP) | Seule la publication d'un avis dans la FAO permet de notifier une décision à un étranger, qui avait entrepris des démarches en vue d'obtenir une autorisation de séjour mais sans s'enquiéter du courrier qui pouvait arriver aux adresses successives où il avait indiqué habiter. La décision du SPOP a dès lors été notifiée correctement et elle est entrée en force. Au surplus, les conditions d'un réexamen ne sont en l'espèce pas remplies, la situation financière du recourant n'ayant pas évolué par rapport à celle sur laquelle se fondait la première décision du SPOP.</w:t>
      </w:r>
    </w:p>
    <w:p>
      <w:pPr>
        <w:pStyle w:val="Heading2"/>
      </w:pPr>
      <w:r>
        <w:t>Erwägungen</w:t>
      </w:r>
    </w:p>
    <w:p>
      <w:r>
        <w:rPr>
          <w:b/>
        </w:rPr>
        <w:t>E. 1</w:t>
      </w:r>
    </w:p>
    <w:p>
      <w:r>
        <w:t>Aux termes de l'art. 4 al. 1 de la loi du 18 décembre 1989 sure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En matière de réexamen, la question de savoir si l'autorité a refusé à tort d'entrer en matière sur une question de droit et implique, pour l'autorité de recours, un contrôle restreint à la légalité. En revanche, si l'autorité est entrée en matière et que le recourant conteste la nouvelle appréciation à laquelle elle s'est livrée, l'autorité de recours dispose du même pouvoir d'examen que dans un recours ordinaire (cf. A. Koelz/l. Haener, Verwaltungsverfahren und Verwaltungsrechtspflege des Bundes, 2 ème ed., Zurich 1998, n°449; T. Merkil/A. Aeschlimann/R. Herzog, Kommentar zum Gesetz vom 23. Mai 1989 über die Verwaltungsrechtspflege des Kantons Bern, Berne 1997, n° 8 et 9 ad art. 57). Dans une telle situation, puisque la LSEE ne prévoit aucune disposition étendant le pouvoir de contrôle de l'autorité de recours à l'inopportunité, ce grief ne peut pas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comme c'est le cas en l'occurrence, le recourant étant un ressortissant communautaire (cf. parmi d'autres ATF 127 II 161, cons. 1a et 60, cons. 1a; 126 II 377, cons. 2 et 335, cons. 1a; 124 II 361, cons. 1a).</w:t>
      </w:r>
    </w:p>
    <w:p>
      <w:r>
        <w:rPr>
          <w:b/>
        </w:rPr>
        <w:t>E. 5</w:t>
      </w:r>
    </w:p>
    <w:p>
      <w:r>
        <w:t>En l'espèce, force est de constater que le recourant est arrivé en Suisse le 5 octobre 2002 dans le but de se marier avec une ressortissante suisse ou, à tout le moins, titulaire d'un titre de séjour dans notre pays. Une demande tendant à l'octroi d'une autorisation de séjour avait alors bel et bien été présentée par correspondance adressée au contrôle des habitants le 15 octobre 2002. Si le recourant ne semble guère se souvenir de cette circonstance aujourd'hui, il était cependant conscient à cette époque qu'il devait obtenir un titre de séjour pour demeurer dans notre pays, comme le démontre également son courrier du 4 février 2003 à l’intention du contrôle des habitants. Il informait alors les autorités de police des étrangers qu' il demeurait à leur disposition " en vue de pouvoir faire aboutir [ses] démarches administratives relatives à l'autorisation de séjour ". Que X._________ ait acquis la nationalité française en mai 2003 ne change rien à ce qui précède, ni à la nécessité pour lui d'obtenir un titre de séjour pour résider et travailler en Suisse. Cette demande a ainsi fait l'objet d'une décision du SPOP le 6 octobre 2004 qui a été notifiée, tout d'abord par lettre-signature aux diverses adresses annoncées par le recourant aux autorités de police des étrangers, puis, compte tenu de l'insuccès de ces notifications, par publication dans la Feuille des avis officiels du canton de Vaud le 10 décembre 2004. A cet égard, le recourant fait valoir que cette décision ne lui aurait jamais été notifiée comme le démontrerait l'absence de sa signature sur le procès-verbal de notification et, partant qu'elle devrait être considérée comme nulle. Cette circonstance est toutefois dénuée de toute pertinence. a) Lorsque le droit cantonal, comme c'est le cas en procédure administrative vaudoise, ne prévoit pas de principes particuliers en matière de notification, il y a lieu d'appliquer les principes découlant de la jurisprudence (Benoît Bovay, Procédure administrative, Berne 2000, spéc. p. 274). Une décision ou une communication de procédure doit être considérée comme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Knapp, Précis de droit administratif, 4 ème éd., n° 704, p. 153). Lorsque l'agent distributeur laisse un avis de retrait à l'intention de l'ayant droit absent, la communication intervient seulement au moment du retrait effectif à la poste pour autant que celui-ci intervienne dans le délai de garde de sept jours. Lorsque la notification se fait par pli ordinaire, l'envoi est censé reçu dès qu'il a été remis au destinataire, dans sa boîte aux lettres ou sa case postale. Toutefois, l'envoi ne fait pas la preuve de sa réception par le destinataire, ni de la date de celle-ci (cf arrêts TA PS 2002.0132 du 9 janvier 2003; PS 1999.0037 du 23 septembre 1999; Grisel, op. cit., pp. 877-878; Poudret, Commentaire de la loi fédérale d'organisation judiciaire, vol. I, Berne 1990, n° 1.3.1, 1.3.2 et 1.11 ad art. 32). Si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Parmi les mesures qui s'offrent au contribuable qui doit s'absenter figure notamment la désignation d'un représentant contractuel (ATF 113 Ib 296, cons. 2a et la jurisprudence citée; Y. Donzallaz, La notification en droit interne suisse, Berne 2002, n° 1048, p. 503). En d'autres termes, la jurisprudence assimile au refus de la communication le fait de s'absenter pour un temps relativement long sans faire suivre son courrier ou laisser d'adresse où l'on peut être atteint (Poudret, op. cit., n° 1.3.6 ad art. 32, p. 203). Enfin, lorsque le lieu de séjour de la partie est inconnu ou lorsqu'elle n'a pas de mandataire qui peut être atteint, l'autorité peut notifier ses décisions soit par voie édictale, soit par publication dans la Feuille des avis officiels (Benoît Bovay, op. cit. p. 276). c) Il ressort des considérants qui précèdent que le recourant a sollicité une autorisation de séjour en octobre 2002 et qu'il devait donc s'attendre à une décision de la part des autorités de police des étrangers à plus ou moins brève échéance. Or, l'intéressé a fait preuve d'une très grande négligence tout au long de la procédure de première instance, d’une part, en ne répondant pas aux diverses convocations que lui avait adressées à de nombreuses reprises le contrôle des habitants de Lausanne ainsi que le SPOP en date du 17 décembre 2003 et, d’autre part, en ne se préoccupant pas de la gestion de son courrier (cf. correspondance du recourant du 12 mars 2005). Face au silence de l’intéressé et faute pour elle de connaître son domicile réel, l'intimée a - à juste titre - procédé à la notification de sa décision du 6 octobre 2004 par publication dans la Feuille des avis officiels du canton de Vaud du 10 décembre 2004. Cette décision est à ce jour définitive et exécutoire et ne saurait être remise en cause dans le cadre du présent recours. Cela étant et quand bien même le recourant prétend que sa requête du 12 mars 2005 ne doit pas être considérée comme une demande de réexamen, on voit mal ce que cette requête pourrait être d'autre dans la mesure où elle a été formée après une décision définitive et exécutoire de l'intimée et où elle tend précisément à obtenir une modification de la décision du SPOP sur une question que ce dernier a déjà tranchée. Force est d’admettre par conséquent que l'on se trouve bien en présence d'une demande de réexamen et que ce n'est qu'à la lumière des principes relatifs à cette institution juridique que le présent litige doit être examiné.</w:t>
      </w:r>
    </w:p>
    <w:p>
      <w:r>
        <w:rPr>
          <w:b/>
        </w:rPr>
        <w:t>E. 6</w:t>
      </w:r>
    </w:p>
    <w:p>
      <w:r>
        <w:t>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ZBI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op. cit. ,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cf.ATF 110 V 138, cons. 2; 108 V 170, cons. 1; JAAC 60.38, cons. 5; P. Moor, op. cit., p. 230; A. Koelz/I. Haener, op. cit., n° 170, cons.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Haner, op. cit.,  n° 434, application analogique de l'art. 66 al. 3 PA; Rhinow/Koller/Kiss, op. cit. , n° 1431;  cf. également , en matière de réexamen des décisions de taxation fiscale, ATF 111 Ib 209, cons. 1 et, en matière de révision des arrêts du TF, l'art. 137 litt. b in fine 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7</w:t>
      </w:r>
    </w:p>
    <w:p>
      <w:r>
        <w:t>Dans le cas présent, le recourant n'a invoqué aucun élément nouveau à l'appui de sa requête du 12 mars 2005. De même, les circonstances ayant conduit le SPOP à refuser le permis sollicité le 6 octobre 2004 sont demeurées inchangées. La situation professionnelle et financière de X._________ n'a ainsi pas évolué, l'intéressé n'étant toujours pas en mesure de produire une offre d'engagement ferme de la part d'un employeur, ni de prouver l'existence de ressources financières propres. A cela s'ajoute - et il s'agit là du seul véritable élément nouveau – que le recourant a été condamné le 4 février 2005 par le Juge d'instruction de l'arrondissement du Nord vaudois notamment à cinq jours d'emprisonnement avec sursis pendant deux ans pour dommages à la propriété et contravention au Règlement de police. Or, cet élément, à supposer qu’il ait été pris en considération par le SPOP, n’aurait pu que conduire ce dernier à confirmer sa décision du 6 octobre 2004.</w:t>
      </w:r>
    </w:p>
    <w:p>
      <w:r>
        <w:rPr>
          <w:b/>
        </w:rPr>
        <w:t>E. 8</w:t>
      </w:r>
    </w:p>
    <w:p>
      <w:r>
        <w:t>Au vu de ce qui précède, c’est à bon droit que l'autorité intimée a considéré qu'il n'existait aucun élément nouveau, pertinent et inconnu du recourant, justifiant d'entrer en matière sur la demande de réexamen du 12 mars 2005. L'autorité intimée n'a par ailleurs ni violé la loi ni excédé son pouvoir d'appréciation en déclarant la demande de réexamen irrecevable. Le recours, manifestement mal fondé, peut être rejeté sans autre mesure d'instruction sur la base de l'art. 35a LJPA. Compte tenu de la situation financière du recourant, les frais du présent arrêt sont laissés à la charge de l'Etat. Il n'y a enfin pas lieu d'allouer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