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PE.2005.0252 vom 28. Februar 2006</w:t>
      </w:r>
    </w:p>
    <w:p>
      <w:r>
        <w:t>VD Tribunal cantonal, 2006-02-28, FR</w:t>
      </w:r>
    </w:p>
    <w:p>
      <w:r>
        <w:rPr>
          <w:b/>
        </w:rPr>
        <w:t xml:space="preserve">Quelle: </w:t>
      </w:r>
      <w:r>
        <w:t>https://mcp.opencaselaw.ch/entscheid/vd_omni_PE.2005.0252</w:t>
      </w:r>
    </w:p>
    <w:p>
      <w:r>
        <w:t>FR: VD_OMNI PE.2005.0252 du 28 février 2006</w:t>
      </w:r>
    </w:p>
    <w:p>
      <w:r>
        <w:t>IT: VD_OMNI PE.2005.0252 del 28 febbraio 2006</w:t>
      </w:r>
    </w:p>
    <w:p>
      <w:pPr>
        <w:pStyle w:val="Heading2"/>
      </w:pPr>
      <w:r>
        <w:t>Regeste</w:t>
      </w:r>
    </w:p>
    <w:p>
      <w:r>
        <w:t>X/Service de la population (SPOP) | Demande de permis humanitaire (art. 13 let. f OLE) déposée après que le Tribunal administratif ait nié dans un arrêt précédent l'existence d'un cas de rigueur au sens du ch. 654 des directives LSEE; les critères à examiner sont similaires dans les deux hypothèses, puisqu'il s'agit de vérifier si des motifs personnels graves exigent la poursuite du séjour en Suisse. Toutefois, le recourant peut invoquer des faits nouveaux qui n'ont pas été pris en considération dans l'examen du cas de rigueur. Retour du dossier à l'autorité intimée afin qu'elle entre en matière sur la demande de permis humanitaire et instruise sur la question des faits nouveaux invoqués par le recourant.</w:t>
      </w:r>
    </w:p>
    <w:p>
      <w:pPr>
        <w:pStyle w:val="Heading2"/>
      </w:pPr>
      <w:r>
        <w:t>Erwägungen</w:t>
      </w:r>
    </w:p>
    <w:p>
      <w:r>
        <w:rPr>
          <w:b/>
        </w:rPr>
        <w:t>E. 1</w:t>
      </w:r>
    </w:p>
    <w:p>
      <w:r>
        <w:t>a) Une décision administrative peut être modifiée aux mêmes conditions que celles applicables à la révision des décisions et arrêts des autorités judiciaires. Les articles 136 et 137 OJ et 66 PA sont applicables par analogie pour examiner si une décision doit être révisée. Parmi les différents motifs de révision, l’existence de faits ou de moyens de preuves nouveaux est la cause de révision la plus souvent invoquée (cf. André Grisel, Traité de droit administratif, Volume II, p. 943-944). Les faits nouveaux ne sont pas ceux qui surviennent après la décision attaquée ; il s’agit de faits antérieurs à la décision attaquée, que l’auteur de la demande de révision n’avait pu, sans sa faute, alléguer auparavant. En d’autres termes, il faut une impossibilité non fautive d’avoir eu connaissance des faits à temps pour pouvoir les invoquer avant que la décision ne soit rendue (cf. Jean-François Poudret, Commentaire de la loi fédérale d’organisation judiciaire, Volume V, Articles 136 à 171, ad art. 137, p. 29-30, ch. 2.2.5). S’agissant des moyens de preuves nouveaux, ils doivent se rapporter également à des faits antérieurs à la décision attaquée ; il faut que ces moyens n’aient pas pu être administrés avant la prise de décision ou que les faits à prouver soient des faits nouveaux au sens défini ci-dessus (cf. André Grisel, op. cit., p. 944). Un autre motif de révision est réalisé lorsque l’autorité a statué en se fondant par inadvertance sur un état de fait incomplet ou différent de celui qui résultait du dossier, mais pas dans le cas où elle aurait apprécié de manière erronée, soit les preuves administrées, soit la portée juridique de cet état de fait (cf. Jean-François Poudret, op. cit., ad art. 136, p. 17, ch. 5). b) En l’espèce, le recourant soutient que son mariage ne serait pas vidé de sa substance. Toutefois, hormis contester certaines considérations émises par le Tribunal administratif dans son arrêt du 7 février 2005 (arrêt PE 2004/0456), soit le fait que le recourant ne soutiendrait pas son épouse dans sa lutte contre la toxicomanie, et que le couple n’entretiendrait plus de contacts, le recourant n’apporte aucun autre élément susceptible de justifier une entrée en matière sur sa demande de réexamen. En effet, les allégations du recourant sont dirigées contre différents éléments de l’argumentation développée par le Tribunal administratif relatifs à la question bien définie de savoir si la communauté conjugale est vidée de toute substance et si le fait de s’en prévaloir pour obtenir une autorisation de séjour est constitutif ou non d’un abus de droit. L’arrêt du tribunal étant désormais définitif et exécutoire, la décision de l’autorité intimée du 20 juillet 2004 ne saurait être réexaminée dans le cadre de la présente procédure, puisqu’aucun fait ou moyen de preuve nouveau au sens défini ci-dessus (cf. consid. 1a) n’a été apporté par le recourant.</w:t>
      </w:r>
    </w:p>
    <w:p>
      <w:r>
        <w:rPr>
          <w:b/>
        </w:rPr>
        <w:t>E. 2</w:t>
      </w:r>
    </w:p>
    <w:p>
      <w:r>
        <w:t>a) Aux termes de l’art. 13 let. f de l’ordonnance du 6 octobre 1986 limitant le nombre des étrangers (ci-après : OLE), ne sont pas comptés dans les nombres maximums les étrangers exerçant une activité lucrative qui obtiennent une autorisation de séjour dans un cas personnel d'extrême gravité ou en raison de considérations de politique générale. Dans la pratique, on parle, pour les permis de séjour délivrés dans les cas de rigueur, de permis "humanitaires". L’ODM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consid. 1c = JdT 1995 I 240). b) En l’espèce, le Tribunal administratif, dans son arrêt du 7 février 2005, a examiné la situation des recourants sous l’angle du ch. 654 des directives LSEE de l’ODM, soit si un cas de rigueur pouvait être retenu. Or, les critères à examiner dans ce cadre sont similaires à ceux qui prévalent en matière de permis humanitaire au sens de l’art. 13 let. f OLE, puisque dans les deux cas, il s’agit de vérifier si des motifs personnels graves exigent la poursuite du séjour en Suisse. Toutefois, il apparaît que le tribunal, dans l’arrêt précité du 7 février 2005, n’a pas examiné les conséquences pour les enfants, nées les 5 octobre 1989 et 12 juillet 1991. Or, le problème des enfants est un aspect important de l’examen de la situation de la famille, surtout lorsqu’il ne s’agit pas d’enfants en bas âge. Dans certains cas, le retour forcé peut constituer un véritable déracinement. Il y a lieu de tenir compte, en particulier, de l’âge de l’enfant lors de son arrivée en Suisse et au moment où se pose la question du retour, des efforts consentis, du degré et de la réussite de sa scolarisation, ainsi que des différences socio-économiques existant entre la Suisse et le pays où il pourrait être renvoyé (ATF 123 II 125 consid. 4 p. 128-131). Le tribunal n’a d’ailleurs pas pu prendre en considération la durée de leur séjour telle qu’elle a été alléguée par les recourants dans le cadre de la présente procédure, soit depuis août 2000. Or, cette durée est corroborée par divers éléments ressortant du dossier, soit la facture du vol Recife-Genève du 10 juillet 2000, selon laquelle un adulte et deux enfants, soit A.X.________, B.X.________ et C.X.________, ont effectué ce voyage le 31 juillet 2000. Figurent également au dossier des documents relatifs au parcours scolaire des filles du recourant, soit par exemple un prix décerné à l’aînée pour « effort méritoire » le 5 juillet 2002, ou deux attestations de 11.******** à 1.******** du 24 novembre 2005, selon lesquelles la cadette suivait régulièrement les cours de l’école obligatoire depuis juillet 2002 et sa sœur depuis juillet 2003. Le recourant a encore produit un document qui atteste du fait que B.X.________ a passé une épreuve cantonale de référence en automne 2001. Un bilan de fin de cours intensifs de français suivis par sa sœur au cours de l’année scolaire 2000-2001 figure également au dossier. Il apparaît ainsi que les recourants sont depuis plus longtemps en Suisse que ce qui avait été retenu par le Tribunal administratif, soit depuis le 1 er août 2002 pour le recourant, et depuis le 25 octobre 2003 pour ses filles. Cet élément signifie néanmoins que leur séjour a été illégal. Un autre élément qui n’a pas été pris en considération par le Tribunal administratif, parce qu’il n’en avait pas connaissance, ce sont les motifs liés à l’activité syndicale du recourant au Brésil. Certes, ces éléments, que ce soit la durée de leur séjour en Suisse que la situation qui attendrait les recourants à leur retour au Brésil, n’ont pas été allégués dans la procédure antérieure, sans que l’on puisse constater que les recourants se trouvaient dans une impossibilité non fautive de les invoquer à ce stade. Toutefois, cela s’explique par le fait que les recourants n’osaient pas révéler aux autorités l’illégalité de leur séjour d’une part, et d’autre part, ils n’avaient pas été interpellés sur la question du retour dans leur pays d’origine. Or, il n’est pas toujours aisé de définir à quel moment de tels éléments doivent être invoqués, surtout lorsque la procédure antérieure concernait un refus de renouvellement d’une autorisation de séjour en raison de la dissolution de la communauté conjugale, et qu’elle n’était donc pas directement liée à des motifs d’ordre humanitaire. En définitive, le tribunal constate donc que des éléments importants sous l’angle de l’examen du cas de rigueur n’ont pas pu être pris en considération au cours de la procédure antérieure, de sorte que la demande de permis humanitaire déposée par les recourants ultérieurement conserve sa validité et que l’autorité intimée aurait dû entrer en matière à son sujet. Le dossier sera donc renvoyé au SPOP afin qu’il examine le cas sous l’angle de l’art. 13 let. f OLE.</w:t>
      </w:r>
    </w:p>
    <w:p>
      <w:r>
        <w:rPr>
          <w:b/>
        </w:rPr>
        <w:t>E. 3</w:t>
      </w:r>
    </w:p>
    <w:p>
      <w:r>
        <w:t>Il résulte des considérants qui précèdent que le recours doit être partiellement admis et la décision attaquée annulée. Le dossier sera retourné à l’autorité intimée afin qu’elle statue sur la demande de permis humanitaire déposée par le recourant. Pour le surplus, le présent arrêt sera rendu sans frais et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