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PE.2005.0248 vom 14. März 2006</w:t>
      </w:r>
    </w:p>
    <w:p>
      <w:r>
        <w:t>VD Tribunal cantonal, 2006-03-14, FR</w:t>
      </w:r>
    </w:p>
    <w:p>
      <w:r>
        <w:rPr>
          <w:b/>
        </w:rPr>
        <w:t xml:space="preserve">Quelle: </w:t>
      </w:r>
      <w:r>
        <w:t>https://mcp.opencaselaw.ch/entscheid/vd_omni_PE.2005.0248</w:t>
      </w:r>
    </w:p>
    <w:p>
      <w:r>
        <w:t>FR: VD_OMNI PE.2005.0248 du 14 mars 2006</w:t>
      </w:r>
    </w:p>
    <w:p>
      <w:r>
        <w:t>IT: VD_OMNI PE.2005.0248 del 14 marzo 2006</w:t>
      </w:r>
    </w:p>
    <w:p>
      <w:pPr>
        <w:pStyle w:val="Heading2"/>
      </w:pPr>
      <w:r>
        <w:t>Regeste</w:t>
      </w:r>
    </w:p>
    <w:p>
      <w:r>
        <w:t>X /Service de la population (SPOP) | Abus de droit; mariage vidé de toute substance; les époux sont séparés depuis plus de deux ans après une vie commune qui a duré quelques mois. Une procédure de divorce a en outre été engagée et aucun élément ne permet de croire à une éventuelle reprise de la vie conjugale. Examen du cas à la lumière du ch. 654 des directives LSEE; absence d'un cas de rigueur; séjour en Suisse depuis février 2003, pas d'enfant, pas de stabilité professionnelle ni de qualifications particulières, assistance publique, entrée en Suisse sans visa, pas d'attaches particulières avec la Suisse.</w:t>
      </w:r>
    </w:p>
    <w:p>
      <w:pPr>
        <w:pStyle w:val="Heading2"/>
      </w:pPr>
      <w:r>
        <w:t>Erwägungen</w:t>
      </w:r>
    </w:p>
    <w:p>
      <w:r>
        <w:rPr>
          <w:b/>
        </w:rPr>
        <w:t>E. 1</w:t>
      </w:r>
    </w:p>
    <w:p>
      <w:r>
        <w:t>LSEE s’éteignent en cas de mariage fictif, ils prennent également fin si l’étranger invoque un mariage de façon abusive (ATF 123 II 49 consid. 5 c ; 121 II 97 consid. 4 ;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 123 II 49 ;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 121 II 97 précité ;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b) En l’espèce, les époux sont séparés depuis décembre 2003, soit après quelques mois seulement de vie commune et depuis plus de deux ans. Une procédure de divorce a été engagée et aucun élément ne permet de croire à une éventuelle reprise de la vie conjugale. L’épouse du recourant avait d’ailleurs indiqué à l’autorité intimée le 10 mars 2005 qu’aucune perspective d’avenir dans son couple n’était envisageable et qu’elle attendait le prononcé du divorce. En outre, le couple n’a pas eu d’enfant. De la sorte, la décision de l’autorité intimée est fondée en ce sens que le mariage n’existe plus que formellement et qu’il est abusif de s’en prévaloir pour obtenir le renouvellement d’une autorisation de séjour, car ce but n’est pas protégé par l’art. 7 al. 1 LSEE.</w:t>
      </w:r>
    </w:p>
    <w:p>
      <w:r>
        <w:rPr>
          <w:b/>
        </w:rPr>
        <w:t>E. 2</w:t>
      </w:r>
    </w:p>
    <w:p>
      <w:r>
        <w:t>a)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le recourant ne peut se prévaloir d’un séjour en Suisse particulièrement long, étant entré dans ce pays le 4 février 2003. Il n’a pas eu d’enfant avec son épouse et il n’est pas au bénéfice de qualifications professionnelles particulières. Il n’a pas fait preuve de stabilité professionnelle et il émarge à l’assistance publique. Il est en outre entré en Suisse sans visa alors qu’il ne comptait pas y séjourner dans un but touristique. Enfin, le recourant ne peut se prévaloir d’attaches particulières avec la Suisse. L’ensemble de ces circonstances ne permet donc pas de retenir un cas de rigueur, de sorte que l’autorité intimée n’a pas excédé son pouvoir d’appréciation en refusant de renouveler l’autorisation de séjour du recourant.</w:t>
      </w:r>
    </w:p>
    <w:p>
      <w:r>
        <w:rPr>
          <w:b/>
        </w:rPr>
        <w:t>E. 3</w:t>
      </w:r>
    </w:p>
    <w:p>
      <w:r>
        <w:t>Il résulte des considérants qui précèdent que le recours doit être rejeté et la décision attaquée maintenue. Un nouveau délai de départ sera imparti au recourant pour quitter le territoire vaudois (art. 12 al. 3 LSEE). L’émolument judiciaire peut être laissé à la charge de l’Etat et il y a lieu d’allouer une indemnité au conseil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