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PE.2005.0209 vom 15. September 2005</w:t>
      </w:r>
    </w:p>
    <w:p>
      <w:r>
        <w:t>VD Tribunal cantonal, 2005-09-15, FR</w:t>
      </w:r>
    </w:p>
    <w:p>
      <w:r>
        <w:rPr>
          <w:b/>
        </w:rPr>
        <w:t xml:space="preserve">Quelle: </w:t>
      </w:r>
      <w:r>
        <w:t>https://mcp.opencaselaw.ch/entscheid/vd_omni_PE.2005.0209</w:t>
      </w:r>
    </w:p>
    <w:p>
      <w:r>
        <w:t>FR: VD_OMNI PE.2005.0209 du 15 septembre 2005</w:t>
      </w:r>
    </w:p>
    <w:p>
      <w:r>
        <w:t>IT: VD_OMNI PE.2005.0209 del 15 settembre 2005</w:t>
      </w:r>
    </w:p>
    <w:p>
      <w:pPr>
        <w:pStyle w:val="Heading2"/>
      </w:pPr>
      <w:r>
        <w:t>Regeste</w:t>
      </w:r>
    </w:p>
    <w:p>
      <w:r>
        <w:t>c/Service de la population (SPOP) Division asile | Confirmation du refus du SPOP d'émettre un préavis favorable à la transformation du permis F en permis B d'une ressortissante étrangère qui a émargé à l'assistance publique pendant de nombreuses années et dont l'amélioration de la situation financière est trop récente pour que l'on puisse admettre une autonomie financière durable.</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a) La recourante sollicite en l’espèce la transformation de son permis F en permis B dit « humanitaire ». La loi fédérale sur l’asile du 26 juin 1998, entrée en vigueur le 1 er octobre 1999, autorise comme par le passé la délivrance d’une autorisation de séjour fondée sur l’art. 13 f OLE (requérants exerçant une activité professionnelle) ou sur l’art. 36 OLE (étrangers sans activité lucrative). Si le canton est favorable à l’octroi d’une telle autorisation de séjour, il doit soumettre le dossier à l’autorité fédérale, soit l’Office des migrations, qui peut seul décider de la réalisation d’un cas personnel d’extrême gravité. L’autorité cantonale n’a donc aucune obligation de procéder à une telle transmission s’il existe des motifs de police au sens large (existence d’infractions aux prescriptions de police des étrangers, motifs d’expulsion ou d’assistance publique) faisant obstacle à l’octroi d’une autorisation de séjour. b) L’autorité intimée fonde son refus sur l’absence d’autonomie financière de la recourante. A cet égard, il est établi que la recourante a été régulièrement assistée par la FAREAS depuis son arrivée en Suisse. Son mari a également été pris en charge par les services sociaux pendant plusieurs années. C’est d’ailleurs en raison de cette situation que la demande de regroupement familial de la recourante a été écartée. Depuis le mois de novembre 2003, la recourante bénéficie certes d’une rente AVS. En janvier 2005, elle a été mise au bénéfice de prestations complémentaires. Ces nouvelles ressources n’ont toutefois pas permis à la recourante et à son mari de devenir entièrement autonomes au plan financier. A l’instar de l’autorité intimée, le tribunal de céans considère que l’aide matérielle apportée par la famille de la recourante depuis le 1 er juillet 2005 est trop récente pour que l’on puisse d’ores et déjà admettre que la recourante est désormais autonome financièrement de manière durable. L’équilibre financier qui semble se mettre en place doit être soumis à l’épreuve du temps. Il convient donc, avant d’envisager l’octroi d’une autorisation de séjour durable, de vérifier que la recourante sera effectivement en mesure de se passer de l’aide matérielle des services sociaux. A cet égard, un délai  d’épreuve de l’ordre de un à deux ans paraît approprié.</w:t>
      </w:r>
    </w:p>
    <w:p>
      <w:r>
        <w:rPr>
          <w:b/>
        </w:rPr>
        <w:t>E. 4</w:t>
      </w:r>
    </w:p>
    <w:p>
      <w:r>
        <w:t>Pour le surplus, l’invocation des art. 33 et 34 OLE n’est d’aucun secours pour la recourante. Comme le tribunal de céans l’a relevé dans son arrêt du 31 juillet 2003, la recourante peut continuer à bénéficier en Suisse des traitements médicaux dont elle a besoin dès lors qu’elle est autorisée à y séjourner sous le couvert de son admission provisoire. Quant à l’art. 34 OLE, il ne saurait trouver application dans la mesure où la condition de la lettre e) de cette disposition n’est pas remplie, la recourante ne disposant pas de ressources financières personnelles lui permettant d’obtenir une autorisation de séjour en qualité de rentière.</w:t>
      </w:r>
    </w:p>
    <w:p>
      <w:r>
        <w:rPr>
          <w:b/>
        </w:rPr>
        <w:t>E. 5</w:t>
      </w:r>
    </w:p>
    <w:p>
      <w:r>
        <w:t>Il ressort des considérants qui précèdent que le recours, en l’état, doit être rejeté et la décision entreprise maintenue. Succombant, la recourante doit supporter les frais judiciaires ; elle n’a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