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PE.2005.0143 vom 9. Dezember 2005</w:t>
      </w:r>
    </w:p>
    <w:p>
      <w:r>
        <w:t>VD Tribunal cantonal, 2005-12-09, FR</w:t>
      </w:r>
    </w:p>
    <w:p>
      <w:r>
        <w:rPr>
          <w:b/>
        </w:rPr>
        <w:t xml:space="preserve">Quelle: </w:t>
      </w:r>
      <w:r>
        <w:t>https://mcp.opencaselaw.ch/entscheid/vd_omni_PE.2005.0143</w:t>
      </w:r>
    </w:p>
    <w:p>
      <w:r>
        <w:t>FR: VD_OMNI PE.2005.0143 du 9 décembre 2005</w:t>
      </w:r>
    </w:p>
    <w:p>
      <w:r>
        <w:t>IT: VD_OMNI PE.2005.0143 del 9 dicembre 2005</w:t>
      </w:r>
    </w:p>
    <w:p>
      <w:pPr>
        <w:pStyle w:val="Heading2"/>
      </w:pPr>
      <w:r>
        <w:t>Regeste</w:t>
      </w:r>
    </w:p>
    <w:p>
      <w:r>
        <w:t>c/Office cantonal de la main d'oeuvre et du placement, Service de la population (SPOP) | Etablissement public dénoncé pour la première fois pour avoir engagé quatre collaborateurs dépourvus de toute autorisation. La durée de la sanction de l'OCMP (six mois de non-entrée en matière sur toute demande au sens de l'art. 55 OLE) est ramenée à trois mois pour tenir compte de l'ensemble des circonstances, notamment de l'absence d'avertissement.</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L’art. 3 al. 3 LSEE dispose que l’étranger qui ne possède pas de permis d’établissement ne peut prendre un emploi et un employeur ne peut l’occuper, que si l’autorisation de séjour lui en donne la faculté. En l’espèce, l’OCMP fait grief à la recourante d’avoir engagé à son service quatre collaborateurs dépourvus de toute autorisation de séjour et de travail. La décision attaquée est fondée sur l’art. 55 OLE dont les alinéas 1 et 2 ont la teneur suivante : « 1.  Si un employeur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des sanctions » Selon la directive 487 publiée par l’IMES, édition janvier 2004, les sanctions doivent varier selon la gravité de l’infraction ; elles ne doivent pas mettre en péril l’emploi des autres travailleurs occupés dans l’entreprise. En règle générale, l’employeur dénoncé reçoit d’abord un avertissement écrit concernant les sanctions encourues, surtout lorsqu’il s’agit d’une première infraction. b) Dans le cas particulier, il faut relever que le recourant a violé à plusieurs reprises les prescriptions du droit des étrangers puisqu’il a engagé plusieurs employés qui n’étaient pas au bénéfice d’une autorisation de séjour et de travail. L’art. 55 OLE lui est donc opposable. Il convient cependant de relativiser la gravité de son comportement dans le cas de son employé Y._________________. En effet, le recourant a déposé en sa faveur une demande d’autorisation de séjour et de travail et la réponse à cette requête ne lui a été communiquée qu’un an après. Son tort est donc d’avoir recouru aux services de l’intéressé sans attendre la réponse de l’autorité intimée, qui a anormalement tardé. En revanche, l’occupation de trois employés équatoriens clandestins constitue une violation flagrante de l’art. 3 al. 3 LSEE, même si l’un d’eux a quitté l’établissement rapidement et si une demande de régularisation a été présentée pour un autre. Il faut relever également que le recourant, à l’occasion de sa première dénonciation, n’a pas été averti par une sommation, comme l’art. 55 al. 2 OLE le permet et comme la directive 487 de l’IMES le recommande. Compte tenu de ces éléments d’appréciation, la quotité de la sanction prononcée est excessive, au vu du principe de la proportionnalité et par comparaison avec d’autres situations connues du tribunal. Dans les causes enregistrées sous les références PE.2003.0240 et 2004.0116, les sanctions avaient également été de six mois mais les employeurs concernés avaient été préalablement avertis et se trouvaient en situation de récidive. Pour tenir compte de l’ensemble des circonstances du cas d’espèce, le tribunal considère qu’une sanction de trois mois est appropriée. L’OCMP pourra dès lors rejeter les demandes d’autorisation de séjour et de travail présentées par le recourant pendant un délai de trois mois à compter de la notification du présent arrêt. Sa décision du 23 mars 2005 doit en conséquence être réformée dans ce sens.</w:t>
      </w:r>
    </w:p>
    <w:p>
      <w:r>
        <w:rPr>
          <w:b/>
        </w:rPr>
        <w:t>E. 4</w:t>
      </w:r>
    </w:p>
    <w:p>
      <w:r>
        <w:t>Il ressort des considérants qui précèdent que le recours doit être partiellement admis. Les frais judiciaires seront donc partiellement à la charge du recourant, à concurrence de 250 fr. Etant assisté par un mandataire professionnel, le recourant a droit à des dépens, qui seront réduits compte tenu de l’issue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