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PE.2005.0141 vom 11. April 2006</w:t>
      </w:r>
    </w:p>
    <w:p>
      <w:r>
        <w:t>VD Tribunal cantonal, 2006-04-11, FR</w:t>
      </w:r>
    </w:p>
    <w:p>
      <w:r>
        <w:rPr>
          <w:b/>
        </w:rPr>
        <w:t xml:space="preserve">Quelle: </w:t>
      </w:r>
      <w:r>
        <w:t>https://mcp.opencaselaw.ch/entscheid/vd_omni_PE.2005.0141</w:t>
      </w:r>
    </w:p>
    <w:p>
      <w:r>
        <w:t>FR: VD_OMNI PE.2005.0141 du 11 avril 2006</w:t>
      </w:r>
    </w:p>
    <w:p>
      <w:r>
        <w:t>IT: VD_OMNI PE.2005.0141 del 11 aprile 2006</w:t>
      </w:r>
    </w:p>
    <w:p>
      <w:pPr>
        <w:pStyle w:val="Heading2"/>
      </w:pPr>
      <w:r>
        <w:t>Regeste</w:t>
      </w:r>
    </w:p>
    <w:p>
      <w:r>
        <w:t>X. c/Service de la population (SPOP) | Cache des faits essentiels justifiant une révocation de son autorisation de séjour sur la base de l'art. 9 al. 2 litt. a LSEE, l'étranger qui n'informe pas les autorités de police des étrangers, lorsqu'il est entendu au sujet sa situation personnelle suite à son divorce, de l'existence à la fois d'une liaison, de la naissance une année plus tôt de sa fille ainsi que de son remariage avec la mère de cette dernière. Ces circonstances auraient, selon toute vraisemblance, amené les autorités de police des étrangers à refuser de renouveler son autorisation de séjour.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pas le cas en l’espèce.</w:t>
      </w:r>
    </w:p>
    <w:p>
      <w:r>
        <w:rPr>
          <w:b/>
        </w:rPr>
        <w:t>E. 5</w:t>
      </w:r>
    </w:p>
    <w:p>
      <w:r>
        <w:t>Aux termes de l’art. 9 al. 2 let. a LSEE, l’autorisation de séjour peut être révoquée lorsque l’étranger l’a obtenue par surprise, en faisant de fausses déclarations ou en dissimulant des faits essentiels. Selon la jurisprudence du Tribunal fédéral relative à l'art. 9 al. 4 litt. a LSEE (révocation d'une autorisation d'établissement), applicable par analogie à l'art. 9 al. 2 litt.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 b 473, JT 1988 I 197 ; cf. également arrêt TA PE.2004.0673 du 1 er février 2006). En l’espèce, force est constater que l’intéressé a, comme le soutient le SPOP, clairement trompé les autorités puisqu’il n’a jamais mentionné lors de son audition du 27 octobre 2003, l’existence à la fois de sa liaison avec celle qui allait devenir son épouse actuelle et de la naissance de sa fille survenue en septembre 2002, donc âgée de plus d’un an au moment de cette audition. De même, fait encore plus grave, le recourant a caché qu’il venait de se remarier le 4 septembre 2003. Il s’agit à l’évidence de dissimulation d’éléments particulièrement importants qui auraient, selon toute vraisemblance, amené le SPOP à rendre une autre décision que celle du 2 décembre 2003 renouvelant le permis de séjour de l’intéressé. Par ailleurs, les explications fournies par ce dernier sur les raisons pour lesquelles il n’a pas fait état de sa réelle situation familiale ne résistent pas à l’examen. Certes, si l’on peut aisément comprendre qu’il n’ait pas voulu, ou pas osé, avouer à sa première épouse qu’il entretenait une relation extraconjugale depuis l’été 2001, dans la mesure où, à cette époque, le couple n’était pas encore divorcé – quand bien même il allègue que tout espoir de réconciliation était déjà perdu -, il en va totalement différemment en ce qui concerne les déclarations faites à la police en octobre 2003, soit plus de cinq mois après le prononcé du divorce. Enfin, l’attitude du recourant n’a pas seulement consisté à cacher des faits essentiels, mais encore à mentir expressément. En effet, toujours lors de son audition du 27 octobre 2003, A. Y.________ a affirmé que seul un frère et ses parents résidaient au Kosovo, alors que sa future épouse et sa fille y séjournaient également. Cela étant, la décision attaquée s’avère pleinement fondée, le SPOP n’ayant nullement abusé de son pouvoir d’appréciation en révoquant l’autorisation de séjour du recourant, cela d’autant plus que les nouvelles attaches familiales de ce dernier, à savoir son épouse actuelle et sa fille, se trouvent toujours dans son pays d’origine. On relèvera encore à cet égard que l’intéressé a contracté un emprunt bancaire relativement important pour construire une maison au Kosovo (cf. rapport de police du 17 février 2005).</w:t>
      </w:r>
    </w:p>
    <w:p>
      <w:r>
        <w:rPr>
          <w:b/>
        </w:rPr>
        <w:t>E. 6</w:t>
      </w:r>
    </w:p>
    <w:p>
      <w:r>
        <w:t>Au vu des considérants qui précèdent, le recours doit être admis et la décision attaquée confirmée. Un nouveau délai de départ sera imparti à l’intéressé pour quitter le territoire vaudois (art. 12 al. 3 LSEE). Vu l’issue du pourvoi, les frais du présent arrêt seront mis à la charge du recourant, qui n’a pas droit à des dépens (art. 38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