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PE.2005.0134 vom 29. Dezember 2005</w:t>
      </w:r>
    </w:p>
    <w:p>
      <w:r>
        <w:t>VD Tribunal cantonal, 2005-12-29, FR</w:t>
      </w:r>
    </w:p>
    <w:p>
      <w:r>
        <w:rPr>
          <w:b/>
        </w:rPr>
        <w:t xml:space="preserve">Quelle: </w:t>
      </w:r>
      <w:r>
        <w:t>https://mcp.opencaselaw.ch/entscheid/vd_omni_PE.2005.0134</w:t>
      </w:r>
    </w:p>
    <w:p>
      <w:r>
        <w:t>FR: VD_OMNI PE.2005.0134 du 29 décembre 2005</w:t>
      </w:r>
    </w:p>
    <w:p>
      <w:r>
        <w:t>IT: VD_OMNI PE.2005.0134 del 29 dicembre 2005</w:t>
      </w:r>
    </w:p>
    <w:p>
      <w:pPr>
        <w:pStyle w:val="Heading2"/>
      </w:pPr>
      <w:r>
        <w:t>Regeste</w:t>
      </w:r>
    </w:p>
    <w:p>
      <w:r>
        <w:t>X/Service de la population (SPOP) | La recourante, ressortissante de Serbie-et-Monténégro, a obtenu une autorisation de séjour par mariage avec un compatriote titulaire d'un permis C. Le couple s'est séparé après moins de deux mois de vie commune et le divorce a été prononcé. La recourante n'a pas séjourné en Suisse avant de venir rejoindre son mari, elle a vécu en Norvège et elle a gardé des liens avec sa famille à nouveau établie au Kosovo. Pas de cas d'extrême rigueur au sens du chiffre 654 des directives ODM.</w:t>
      </w:r>
    </w:p>
    <w:p>
      <w:pPr>
        <w:pStyle w:val="Heading2"/>
      </w:pPr>
      <w:r>
        <w:t>Erwägungen</w:t>
      </w:r>
    </w:p>
    <w:p>
      <w:r>
        <w:rPr>
          <w:b/>
        </w:rPr>
        <w:t>E. 1</w:t>
      </w:r>
    </w:p>
    <w:p>
      <w:r>
        <w:t>En vertu de l'art. 17 al. 2 de la loi du 26 mars 1931 sur le séjour et l'établissement des étrangers (LSEE), le conjoint d'un étranger qui possède l'autorisation d'établissement a droit à l'autorisation de séjour aussi longtemps que les époux vivent ensemble. Le ménage commun est donc une condition sine qua non pour admettre le droit, à un conjoint d'un étranger titulaire d'un permis C, à se voir délivrer une autorisation de séjour. L’art. 7 al. 2 LSEE précise toutefois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Si le mariage s'est révélé de complaisance ou s'il existe un abus de droit, les droits conférés par l'art. 7 al. 2 LSEE prennent fin (ATF 123 II 49, consid. 5c; 121 II 97 consid. 4; 119 Ib 417 consid. 2; A. Wurzburger, La jurisprudence récente du Tribunal fédéral en matière de police des étrangers, in RDAF 1997, p. 272). Tel est également le  cas pour les droits découlant de l'art. 17 al. 2 LSEE.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 dit de nationalité (voir ATF 98 21) ; les autorités doivent donc se fonder sur des indices. La grande différence d’âge entre les époux, l’existence d’une interdiction d’entrer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 b p. 295 ; 121 II 1 consid. 2b p. 3). Quant à l'abus de droit, le Tribunal fédéral a jugé que seul un abus manifeste pouvait être pris en considération, son existence éventuelle devant être appréciée dans chaque cas particulier et avec retenue (ATF 2A.48/2001 du 6 avril 2001; 121 II 97 cité). Il y a toutefois abus de droit lorsque le conjoint étranger invoque un mariage n'existant plus que formellement dans le seul but d'obtenir une autorisation de séjour (ATF 123 II 49 et 121 II 97 cités). Tel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w:t>
      </w:r>
    </w:p>
    <w:p>
      <w:r>
        <w:rPr>
          <w:b/>
        </w:rPr>
        <w:t>E. 2</w:t>
      </w:r>
    </w:p>
    <w:p>
      <w:r>
        <w:t>En l’espèce, la recourante dit qu’elle s'est mariée dans le but de créer une famille et de vivre avec son mari. Elle a affirmé qu'elle fréquentait son mari depuis une année déjà lorsqu'elle s'est mariée, afin de pouvoir le rejoindre en Suisse. Il est dès lors pour le moins surprenant qu'elle ait ignoré les conditions dans lesquelles vivait son futur époux, cela d'autant plus que des membres de sa famille, notamment E.Y.________ , chez qui elle est allée habiter dès le mois d'avril 2004, habitaient déjà 1. ********, à la même rue, le chemin d'Entre-Bois, que le futur époux (E.Y.________ au n° 13 et B.X.________ et ses parents au n° 33). S'agissant des raisons et des circonstances de la rupture, après moins de deux mois de vie commune, les explications des époux ne concordent pas. De son côté, le mari affirme qu'il a attendu en vain le retour de son épouse au foyer après des vacances au 4.********; il aurait appris par des tiers qu'elle était revenue à 1.********, sans même l'en informer. Lorsqu'il lui aurait demandé de revenir à la maison, elle aurait répondu que puisqu'elle avait obtenu le permis "B", elle pouvait désormais faire ce qu'elle voulait, notamment vivre sa vie seule, et qu'elle n'avait plus besoin de lui. Quant à l'épouse, elle dit que son beau-père aurait demandé au couple de quitter le logement commun et qu'elle serait retournée au 4.********, à la demande de son mari, en attendant qu'il trouve un logement. Elle serait allée vivre chez un cousin à son retour en Suisse, car son mari, endetté, était incapable de trouver un logement. Si l'on s'en tient aux faits clairement établis, il apparaît que la recourante est venue habiter chez son mari le 6 décembre 2003 et qu'elle est repartie le 31 janvier 2004 chez ses parents au 4.******** : elle a donc vécu moins de deux mois avec son mari (et non un an et 3 mois, chiffre avancé par le SPOP, repris par Asslan Karaj dans son recours, puis rectifié par le SPOP dans ses déterminations sur le recours). La séparation a été  effective dès le 31 janvier 2004 et le couple n'a jamais repris la vie commune. Une action en divorce a été introduite par le mari au courant de l'année 2004 et le divorce a été prononcé le 28 octobre 2004 par le Tribunal départemental de Prizren au 4.********. Il est vrai qu'un recours ayant été interjeté au nom d'A.X.________ auprès du Tribunal suprême du 4.******** le 10 décembre 2004, le jugement de divorce n'est entré en force qu'à une date ultérieure, mais au plus tard le 23 septembre 2005, date enregistrée par le Service du contrôle des habitants de la Ville de 1.********, en tant que "date de l'événement d'état civil". Dès l'année 2004, le mariage était vidé de sa substance, la reprise de la vie commune n'étant plus envisagée et l'action en divorce entamée. Il convient dès lors d'admettre que la recourante commet un abus de droit à se prévaloir d'un mariage qui n'existe plus que formellement, pour obtenir le renouvellement d'une autorisation de séjour obtenue à titre de regroupement familial pour vivre auprès de son mari. Peu importe à cet égard sa volonté - non démontrée - de maintenir les liens du mariage et le fait qu'elle n'ait pas été personnellement entendue par le tribunal qui a prononcé le divorce, où elle était représentée par son père. En effet, le Tribunal fédéral a confirmé qu'il y avait abus de droit à se prévaloir d'un mariage lorsque les chances de reprise de l'union conjugale apparaissent d'emblée comme nulles. Tel est le cas, même si la séparation des époux n'a pas duré deux ans, délai durant lequel l'un des époux peut  s'opposer au divorce demandé par son conjoint. Les autorités administratives sont tenues essentiellement d'examiner les relations entre le conjoint suisse et le conjoint étranger, sans être liées par la situation existant sous l'angle du droit du divorce et surtout indépendamment des conclusions du juge civil (arrêt non publié 2A.119/2005 et 2A.120/2005 du 6 septembre 2005, consid. 4.1 et 4.2 et les arrêts cités). En l'occurrence, il est clairement établi que le mariage a définitivement échoué en 2004 et qu'il a pris fin par un divorce entré en force dans le courant de l'année 2005.</w:t>
      </w:r>
    </w:p>
    <w:p>
      <w:r>
        <w:rPr>
          <w:b/>
        </w:rPr>
        <w:t>E. 3</w:t>
      </w:r>
    </w:p>
    <w:p>
      <w:r>
        <w:t>Nonobstant l'existence d'un abus de droit et malgré la rupture de l'union conjugale, en cas de séparation durable ou de divorce, le renouvellement ou le maintien de l'autorisation de séjour peut être accordé aux conditions fixées dans les directives édictées par l'Office fédéral des migrations (ODM). A cet égard, le chiffre 654 des directives prévoit ce qui suit :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chiffres 624.2 et 633). Conformément à l'art. 12 al. 2 OLE, la prolongation de l'autorisation de séjour ne nécessite pas d'imputation sur le contingent. Ceci vaut également si l'étranger n'a auparavant jamais exercé d'activité lucrative."</w:t>
      </w:r>
    </w:p>
    <w:p>
      <w:r>
        <w:rPr>
          <w:b/>
        </w:rPr>
        <w:t>E. 4</w:t>
      </w:r>
    </w:p>
    <w:p>
      <w:r>
        <w:t>En l'espèce, la recourante n'a pas séjourné en Suisse avant de venir y rejoindre son époux. Elle a vécu ailleurs que dans son pays d'origine, notamment en Norvège, où elle travaillait comme coiffeuse et où elle dit qu'elle "était mieux" . Les membres de sa famille vivent actuellement au 4.******** et elle a séjourné auprès d'eux durant près de deux mois au début de l'année 2004. Son père l'a représentée dans le cadre de l'action en divorce intentée par son mari. Elle n'apporte pas la preuve de liens personnels avec la Suisse particulièrement forts, ni ne démontre un degré d'intégration tel qu'un retour au pays la mettrait dans une situation de détresse personnelle. Le seul fait qu'elle occupe un emploi en tant que serveuse auprès d'un établissement public de la région n'est à cet égard pas suffisant. Même si la recourante peut, quand bien même cela n'est pas établi, rencontrer dans son pays des difficultés sociales, professionnelles et économiques, elle ne se trouve pas dans une situation d'extrême rigueur qui lui permettrait d'obtenir le renouvellement de son autorisation de séjour.</w:t>
      </w:r>
    </w:p>
    <w:p>
      <w:r>
        <w:rPr>
          <w:b/>
        </w:rPr>
        <w:t>E. 5</w:t>
      </w:r>
    </w:p>
    <w:p>
      <w:r>
        <w:t>Les considérants qui précèdent conduisent au rejet du recours aux frais de la recourante qui succombe et qui, vue l'issue de son pourvoi, doit se voir impartir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