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PE.2005.0126 vom 7. September 2006</w:t>
      </w:r>
    </w:p>
    <w:p>
      <w:r>
        <w:t>VD Tribunal cantonal, 2006-09-07, FR</w:t>
      </w:r>
    </w:p>
    <w:p>
      <w:r>
        <w:rPr>
          <w:b/>
        </w:rPr>
        <w:t xml:space="preserve">Quelle: </w:t>
      </w:r>
      <w:r>
        <w:t>https://mcp.opencaselaw.ch/entscheid/vd_omni_PE.2005.0126</w:t>
      </w:r>
    </w:p>
    <w:p>
      <w:r>
        <w:t>FR: VD_OMNI PE.2005.0126 du 7 septembre 2006</w:t>
      </w:r>
    </w:p>
    <w:p>
      <w:r>
        <w:t>IT: VD_OMNI PE.2005.0126 del 7 settembre 2006</w:t>
      </w:r>
    </w:p>
    <w:p>
      <w:pPr>
        <w:pStyle w:val="Heading2"/>
      </w:pPr>
      <w:r>
        <w:t>Regeste</w:t>
      </w:r>
    </w:p>
    <w:p>
      <w:r>
        <w:t>X.______________, Y.___________________/Service de la population (SPOP) | Confirmation de la décision du SPOP de révoquer le permis de séjour de la recourante et de son fils après la séparation intervenue avec son mari, une action en divorce étant pendante. Recours toutefois partiellement admis et renvoi du dossier au SPOP pour qu'il examine si les conditions de la directive ODM 654 sont remplies au regard de la santé de la recourante. Recours partiellement admis.</w:t>
      </w:r>
    </w:p>
    <w:p>
      <w:pPr>
        <w:pStyle w:val="Heading2"/>
      </w:pPr>
      <w:r>
        <w:t>Erwägungen</w:t>
      </w:r>
    </w:p>
    <w:p>
      <w:r>
        <w:rPr>
          <w:b/>
        </w:rPr>
        <w:t>E. 1</w:t>
      </w:r>
    </w:p>
    <w:p>
      <w:r>
        <w:t>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En vertu de l’art. 7 al. 1 LSEE, le conjoint étranger d’un ressortissant suisse a droit à l’octroi et à la prolongation de l’autorisation de séjour; après un séjour régulier et ininterrompu de 5 ans, il a droit à l’autorisation d’établissement ;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(ATF 121 II 97 consid. 3b p. 101 et 102 ; ATF du 28 février 2003, 2A.496/2002). La grande différence d’âge entre les époux, l’existence d’une interdiction d’entrée en Suisse prononcée contre le conjoint étranger, le risque de renvoi de Suisse de ce dernier, l’absence de vie commune des époux ou le fait que la vie commune ait été de courte durée, constituent des indices que les époux n’ont pas la volonté de créer une véritable union conjugale durable. Il en va de même lorsqu’une somme d‘argent a été convenue en échange du mariage ou que la fréquentation avant le mariage a été de courte durée, les époux ne se connaissant presque pas au moment de leur union. Les motifs du mariage ne sont pas décisifs dès l’instant où celui-ci et la communauté de vie sont réellement voulus par les époux (ATF 121 II 97 consid. 3 b p. 102 ; ATF du 28 février 2003, 2A.496/2002).</w:t>
      </w:r>
    </w:p>
    <w:p>
      <w:r>
        <w:rPr>
          <w:b/>
        </w:rPr>
        <w:t>E. 2</w:t>
      </w:r>
    </w:p>
    <w:p>
      <w:r>
        <w:t>a) Si les droits conférés par l’art. 7 al. 1 LSEE s’éteignent en cas de mariage fictif, ils prennent également fin si l’étranger invoque un mariage de façon abusive (ATF 123 II 49 consid. 5 c ; 121 II 97 consid. 4 ;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 123 II 49 ; 127 II 49 et 128 II 97). b)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 121 II 97 précité ;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c) En l’espèce, il ressort des déclarations de la recourante devant la Police cantonale vaudoise du 15 juillet 2003 que celle-ci a connu son futur mari en octobre 2000, alors qu’elle était de passage en Suisse pour des vacances auprès de sa sœur. Les époux, qui ont une différence d’âge de près de vingt-deux ans, se sont mariés un mois plus tard, soit le 7 novembre 2000 au Cameroun. La recourante est arrivée en Suisse au début du mois d’août 2001. D’après les déclarations du mari de la recourante devant la police vaudoise, il aurait entamé des premières démarches en vue d’un divorce le 14 mars 2002, soit après neuf mois de vie commune. Une année plus tard, il a déposé une nouvelle demande de divorce en raison de fréquentes disputes. Il a quitté le domicile conjugal en mars 2003. Depuis, les époux n’ont pas repris la vie commune. Enfin, une nouvelle action en divorce a été intentée unilatéralement par l'un des époux en mai 2005, comme l'atteste le courrier du Tribunal d'arrondissement de la Côte adressé au SPOP le 31 mai 2005. Il ressort des éléments qui précèdent que la durée de la vie conjugale n’a pas atteint deux ans, période pendant laquelle une première demande de divorce avait déjà été déposée. Certes, les époux affirment qu’une reprise de la vie conjugale n’est pas impossible ; toutefois, force est de constater qu’ils ne font pas ménage commun à ce jour, soit plus d’une année après la fin du délai de séparation fixé dans la convention de mesures protectrices de l’union conjugale signée par les parties les 25 et 28 juin 2004. Ainsi, l’union conjugale n’est plus vécue depuis plus de trois ans. Dès lors, le mariage de la recourante et de son mari apparaît n’exister plus que formellement. Ceci est d'ailleurs confirmé par la nouvelle action en divorce déposée peu après que la décision entreprise ait été rendue. C’est dès lors à juste titre que l’autorité intimée a invoqué l’abus de droit et a décidé de ne pas renouveler le permis de séjour de la recourante.</w:t>
      </w:r>
    </w:p>
    <w:p>
      <w:r>
        <w:rPr>
          <w:b/>
        </w:rPr>
        <w:t>E. 3</w:t>
      </w:r>
    </w:p>
    <w:p>
      <w:r>
        <w:t>a) En cas d’abus de droit, pour éviter des situations d’extrême rigueur, l’autorisation de séjour peut être renouvelée après le divorce ou la dissolution de la communauté conjugale. Les circonstances suivantes seront déterminantes (chiffre 654 des directives LSEE de l’ODM)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l’occurrence, la recourante apparaît bien intégrée en Suisse, elle y exerce une activité professionnelle d’une manière stable, à satisfaction semble-t-il de son employeur. Son comportement n’a pas suscité l’intervention des forces de l’ordre. La recourante a par ailleurs produit un certificat médical du 7 juillet 2005, soit largement postérieur à la décision entreprise, duquel il ressort qu’elle souffrirait d’une recto-colite ulcéro-hémorragique nécessitant un traitement chronique avec possibilité d’aggravation ne pouvant être pris en charge en Afrique. Il s’agit à l’évidence d’un fait nouveau sur lequel l’autorité intimée ne s’est pas déterminée. Or, le tribunal de céans n’est pas en mesure d'établir si les troubles allégués par la recourante sont de nature à justifier un cas d’extrême gravité au sens des directives 654 susmentionnées. Il conviendra dès lors à l’autorité intimée d’examiner dans quelle mesure les troubles dont souffre la recourante sont de nature à constituer un tel cas, en interpellant notamment les autorités médicales compétentes pour savoir dans quelle mesure un retour de la recourante dans son pays d’origine peut être exigé.</w:t>
      </w:r>
    </w:p>
    <w:p>
      <w:r>
        <w:rPr>
          <w:b/>
        </w:rPr>
        <w:t>E. 4</w:t>
      </w:r>
    </w:p>
    <w:p>
      <w:r>
        <w:t>Les considérants qui précèdent concluent à l’admission très partielle du recours. La recourante obtenant partiellement gain de cause en raison de faits nouveaux postérieurs à la décision entreprise devra supporter l’émolument de justice du présent arrêt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