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PE.2005.0103 vom 31. Juli 2006</w:t>
      </w:r>
    </w:p>
    <w:p>
      <w:r>
        <w:t>VD Tribunal cantonal, 2006-07-31, FR</w:t>
      </w:r>
    </w:p>
    <w:p>
      <w:r>
        <w:rPr>
          <w:b/>
        </w:rPr>
        <w:t xml:space="preserve">Quelle: </w:t>
      </w:r>
      <w:r>
        <w:t>https://mcp.opencaselaw.ch/entscheid/vd_omni_PE.2005.0103</w:t>
      </w:r>
    </w:p>
    <w:p>
      <w:r>
        <w:t>FR: VD_OMNI PE.2005.0103 du 31 juillet 2006</w:t>
      </w:r>
    </w:p>
    <w:p>
      <w:r>
        <w:t>IT: VD_OMNI PE.2005.0103 del 31 luglio 2006</w:t>
      </w:r>
    </w:p>
    <w:p>
      <w:pPr>
        <w:pStyle w:val="Heading2"/>
      </w:pPr>
      <w:r>
        <w:t>Regeste</w:t>
      </w:r>
    </w:p>
    <w:p>
      <w:r>
        <w:t>X. c/Service de la population (SPOP) | Arrivé en 1999 dans le cadre d'un séjour pour études, le recourant, d'origine française, a été condamné depuis lors à 4 reprises, notamment à une peine privative de liberté de huit mois en 2004 et 14 mois en 2005. La répétition des infractions, dont la gravité est croissante, justifie une mesure d'éloignement, quelle que soit la situation de libre circulation des personnes que le recourant pourrait faire valoir. Recours rejeté.</w:t>
      </w:r>
    </w:p>
    <w:p>
      <w:pPr>
        <w:pStyle w:val="Heading2"/>
      </w:pPr>
      <w:r>
        <w:t>Erwägungen</w:t>
      </w:r>
    </w:p>
    <w:p>
      <w:r>
        <w:rPr>
          <w:b/>
        </w:rPr>
        <w:t>E. 1</w:t>
      </w:r>
    </w:p>
    <w:p>
      <w:r>
        <w:t>Depuis l’entrée en vigueur le 1 er juin 2002 de l’Accord sur la libre circulation des personnes (RS 0.142.112.681 ; ALCP), le recourant peut, en principe, du fait de sa nationalité française, obtenir une autorisation de séjour s’il entre dans une situation de libre circulation prévue par cet accord. Selon l’art. 3 § 1 1 ère phrase de l’annexe I ALCP, les membres de la famille d’une personne ressortissante d’une partie contractante ayant un droit de séjour ont le droit de s’installer avec elle. L’art. 3 § 2 lit. a de l’annexe I ALCP précise que sont considérés comme membres de la famille, quelle que soit leur nationalité, son conjoint et leurs descendants de moins de 21 ans ou à charge. En l’espèce, le recourant est un ressortissant communautaire, dont la mère, même origine, est mariée à un ressortissant suisse. Elle exerce par ailleurs une activité économique de sorte qu’indépendamment de son statut de conjoint d’un citoyen suisse, elle a droit à la délivrance d’une autorisation de séjour et de travail CE/AELE. Le recourant a demandé le 3 mai 2005 une demande de regroupement familial. Né en 1984 et donc âgé de moins de 21 ans au moment du dépôt de sa demande le 5 mai 2003, il a en principe droit à la délivrance d’une autorisation de séjour CE/AELE par regroupement familial pour vivre auprès de sa mère, ressortissante d’un Etat membre de l’UE/AELE, même s’il ne vit pas en Suisse auprès de ses deux parents (dans ce sens, directives OLCP ch. 10.7 ). Au delà de l’âge de 21 ans, cette faculté subsiste pour autant que le descendant soit à charge. En l’occurrence, le SPOP oppose à la demande de regroupement familial l’absence de ménage commun avec sa famille, comme le démontre l’existence d’un domicile séparé. Le recourant conteste une telle affirmation, en démontrant qu’il a vécu pendant une période de quelques mois, soit jusqu’au mois de septembre 2003, dans un studio pour des questions de commodité. Il résulte du dossier que le dernier permis de séjour au dossier échu depuis le 25 février 2004 indique que le recourant est domicilié au chemin F.________, soit à l’adresse de son beau-père et de sa famille. Cette circonstance n’a pas changé. Le point de savoir si cette adresse officielle correspond au lieu où le recourant vit effectivement est mis en doute par le SPOP, sans qu’il ne soit démontré à satisfaction de droit à l’inverse que le recourant ne vivrait pas du tout au domicile familial. Cette question importe peu dès lors que le recourant pourrait de toute manière revendiquer un permis de séjour pour études, sans vivre auprès de sa famille, sur la base de l’art. 24 § 4 de l’annexe I ALCP, aux conditions de cette disposition, ou encore pour exercer une activité économique, s’il devait trouver un emploi. Compte tenu de la nationalité du recourant et du fait qu’il entre a priori dans une situation de libre circulation des personnes et pourrait cas échéant en faire valoir une autre, il n’y a pas lieu d’examiner cette question de regroupement familial plus avant. Il faut en revanche déterminer si le comportement du recourant justifie une mesure d’éloignement, quelle que soit la situation de libre circulation dans laquelle il se trouve.</w:t>
      </w:r>
    </w:p>
    <w:p>
      <w:r>
        <w:rPr>
          <w:b/>
        </w:rPr>
        <w:t>E. 2</w:t>
      </w:r>
    </w:p>
    <w:p>
      <w:r>
        <w:t>Les droits octroyés par les dispositions de l’ALCP ne peuvent être limités que par des mesures justifiées par des raisons d’ordre public, de sécurité publique et de santé publique, selon l’art. 5 § 1 annexe I ALCP, dont le cadre et les modalités sont définis par la directive 64/221/CEE et la jurisprudence pertinente y relative de la Cour de justice des communautés européennes (ci-après : la Cour de justice). Selon celle-ci, les limitations au principe de la liberté de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Les mesures d’ordre public ou de sécurité publique doivent être fondées, aux termes de l’art. 3 § 1 de la directive 64/221/CEE, exclusivement sur le comportement personnel de celui qui en est l’objet. Des motifs de prévention générale détachés du cas individuel ne sauraient donc les justifier. En outre, d’après l’art. 3 § 2 de la directive précitée,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Selon les circonstances, la Cour de justice admet néanmoins que le seul fait du comportement passé de la personne concernée puisse réunir les conditions de pareille menace actuelle (ATF 130 II 176 et réf. citées). On ne saurait toutefois déduire de l’arrêt de la Cour de justice du 27 octobre 1977, Bouchereau, C-30/77, Rec. 1977, p. 1999, pts 27-28, qu’une mesure d’ordre public est subordonnée à la condition qu’il soit établi avec certitude que l’étranger commettra d’autres infractions à l’avenir ;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potentielle qui pourrait y être portée (ATF 130 II 493 consid. 3.3 p. 499/500 ; ATF 130 II 176 consid. 4.3.1 p. 185/186). Toute mesure d’éloignement doit respecter le principe de la proportionnalité, qui s’impose au regard de l’ALCP (ATF 130 II 176). Lorsque l’étranger a enfreint l’ordre public, les éléments qu’il y a lieu de prendre en considération, indépendamment de la gravité de la faute commise, ont trait à la durée de son séjour en Suisse, à son intégration, à sa situation familiale et au préjudice qu’il aurait à subir, avec sa famille, du fait du départ forcé de Suisse</w:t>
      </w:r>
    </w:p>
    <w:p>
      <w:r>
        <w:rPr>
          <w:b/>
        </w:rPr>
        <w:t>E. 3</w:t>
      </w:r>
    </w:p>
    <w:p>
      <w:r>
        <w:t>A l’appui de ses conclusions, le recourant considère en résumé qu’il ne représente pas une menace actuelle et suffisamment grave pour l’ordre public pour justifier une mesure d’éloignement. Il estime que la décision viole par ailleurs le principe de la proportionnalité compte tenu de ses attaches en Suisse. En l’espèce, le recourant est arrivé en Suisse en été 1999. Il a été condamné à quatre reprises. Les deux dernières condamnations dont il a fait l’objet ont entraîné des peines privatives de liberté de respectivement huit mois en 2004 et 14 mois en 2005. Les peines prononcées sont d’une gravité croissante. La nature des infractions est de plus en plus grave. En effet, le recourant ne s’est pas limité à commettre des infractions contre le patrimoine, mais il a participé à une rixe et a été reconnu coupable d’agression, soit des infractions mettant en cause l’intégrité physique de personnes. Peu après sa sortie de prison intervenue le</w:t>
      </w:r>
    </w:p>
    <w:p>
      <w:r>
        <w:rPr>
          <w:b/>
        </w:rPr>
        <w:t>E. 4</w:t>
      </w:r>
    </w:p>
    <w:p>
      <w:r>
        <w:t>Les considérants qui précèdent conduisent au rejet du recours aux frais du recourant qui succombe et qui, vu l’issue de son pourvoi,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