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PE.2004.0662 vom 10. Mai 2005</w:t>
      </w:r>
    </w:p>
    <w:p>
      <w:r>
        <w:t>VD Tribunal cantonal, 2005-05-10, FR</w:t>
      </w:r>
    </w:p>
    <w:p>
      <w:r>
        <w:rPr>
          <w:b/>
        </w:rPr>
        <w:t xml:space="preserve">Quelle: </w:t>
      </w:r>
      <w:r>
        <w:t>https://mcp.opencaselaw.ch/entscheid/vd_omni_PE.2004.0662</w:t>
      </w:r>
    </w:p>
    <w:p>
      <w:r>
        <w:t>FR: VD_OMNI PE.2004.0662 du 10 mai 2005</w:t>
      </w:r>
    </w:p>
    <w:p>
      <w:r>
        <w:t>IT: VD_OMNI PE.2004.0662 del 10 maggio 2005</w:t>
      </w:r>
    </w:p>
    <w:p>
      <w:pPr>
        <w:pStyle w:val="Heading2"/>
      </w:pPr>
      <w:r>
        <w:t>Regeste</w:t>
      </w:r>
    </w:p>
    <w:p>
      <w:r>
        <w:t>c/Service de la population (SPOP) | Confirmation du refus de délivrer une autorisation de séjour par regroupement familial à une ressortissante de Serbie et Monténégro, née en 1977, ayant bénficié d'un permis C de novembre 1994 à février 1997. Impossibilité d'envisager la réintégration dans le permis d'établissement en l'absence de toute demande d'autorisation de séjour et de travail.</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2.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3.                Il n’est pas contesté en l’espèce que la recourante a perdu le bénéfice de l’autorisation d’établissement dont elle était titulaire. En effet, aux termes de l’art. 9 al. 3 litt. c LSEE, l’autorisation d’établissement prend fin lorsque l’étranger annonce son départ ou qu’il a séjourné effectivement pendant six mois à l’étranger ; ce délai peut être prolongé, sur demande, jusqu’à deux ans. Or, la recourante a quitté la Suisse le 22 février 1997 et n’a pas requis de prolongation de son autorisation d’établissement. a) La recourante ne peut pas bénéficier du regroupement familial pour rejoindre ses parents, tant l’art. 17 al. 2 LSEE que l’art. 38 OLE réservant cette faculté aux enfants âgés de moins de 18 ans. En outre, l’art. 36 OLE, permettant d’accorder exceptionnellement une autorisation de séjour aux ressortissants étrangers n’exerçant pas d’activité lucrative lorsque des raisons importantes l’exigent, ne saurait trouver application. Cette disposition n’a en effet pas pour but de contourner les exigences légales liées au regroupement familial, notamment celle relative à l’âge des requérants. b) Il reste à examiner le recours à la lumière de l’art. 10 al. 1 deuxième phrase du règlement d’application de la LSEE selon lequel l’étranger qui a déjà possédé l’établissement pendant plusieurs années et qui a gardé, malgré son absence, d’étroites attaches avec la Suisse, peut être mis au bénéfice de l’établissement sans avoir obtenu au préalable une autorisation de séjour. Une telle réintégration dans le permis d’établissement implique une libération préalable du contrôle fédéral, mesure qui est de la compétence de l’Office fédéral des migrations (art. 17 al. 1 deuxième phrase LSEE), et l’obtention d’une autorisation de séjour et de travail. Une telle autorisation peut être obtenue soit par l’octroi d’une unité du contingent cantonal des permis B, soit par le biais de l’art. 13 litt. f OLE (cas personnel d’extrême gravité). Elle suppose qu’un employeur disposé à engager l’étranger ait déposé une demande de main-d’œuvre. Or, dans le cas particulier, la recourante n’a pas produit de requête dans ce sens. En l’état, une demande de réintégration dans son permis d’établissement n’est donc pas envisageable. 4.                Vu ce qui précède, le recours doit être rejeté et la décision entreprise maintenue. Succombant, la recourante doit supporter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