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PE.2004.0650 vom 22. April 2005</w:t>
      </w:r>
    </w:p>
    <w:p>
      <w:r>
        <w:t>VD Tribunal cantonal, 2005-04-22, FR</w:t>
      </w:r>
    </w:p>
    <w:p>
      <w:r>
        <w:rPr>
          <w:b/>
        </w:rPr>
        <w:t xml:space="preserve">Quelle: </w:t>
      </w:r>
      <w:r>
        <w:t>https://mcp.opencaselaw.ch/entscheid/vd_omni_PE.2004.0650</w:t>
      </w:r>
    </w:p>
    <w:p>
      <w:r>
        <w:t>FR: VD_OMNI PE.2004.0650 du 22 avril 2005</w:t>
      </w:r>
    </w:p>
    <w:p>
      <w:r>
        <w:t>IT: VD_OMNI PE.2004.0650 del 22 aprile 2005</w:t>
      </w:r>
    </w:p>
    <w:p>
      <w:pPr>
        <w:pStyle w:val="Heading2"/>
      </w:pPr>
      <w:r>
        <w:t>Regeste</w:t>
      </w:r>
    </w:p>
    <w:p>
      <w:r>
        <w:t>c/Service de la population (SPOP) | Commet un abus de droit la recourante qui invoque un mariage n'existant plus que formellement pour obtenir le renouvellement de son permis de séjour alors que la vie commune avec son époux n'a duré que 9 mois et qu'elle vit séparée de lui, sans espoir de réconciliation, depuis presque 2 ans.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a) 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b) Dans le cas présent, l’autorité intimée ne reproche pas à la recourante d’avoir conclu un mariage fictif à l’origine, mais de commettre un abus de droit en invoquant un mariage n’existant plus que formellement pour obtenir la prolongation de son autorisation de séjour. L’appréciation est pertinente et le tribunal ne peut que s’y rallier. Les époux Z.________ se sont en effet séparés au mois de juillet 2003, soit tout juste neuf mois après la célébration de leur mariage. Depuis lors, soit depuis plus d’un an au jour de la décision attaquée et depuis plus de vingt mois au jour du présent arrêt, ils n’ont jamais repris la vie commune et n’ont manifestement plus aucune relation. A cet égard, Z._________ a déclaré le 12 décembre 2003 ne pas envisager de continuer de vivre avec son épouse, cette dernière n’éprouvant selon lui aucun sentiment à son égard. Certes, de son côté, X._________ a affirmé, dans un courrier adressé au SPOP le 7 novembre 2004, toujours aimer son mari en dépit des brimades qu’il lui a infligées. Cependant, aucun élément du dossier ne permet d’affirmer qu’une réconciliation des époux serait possible, que ce soit à brève ou à longue échéance. Dans ces circonstances, force est de constater que le mariage, qui n’est plus vécu depuis bientôt deux ans, est manifestement vidé de toute substance, si bien qu’il n’entre pas dans le champ de protection de l’article 7 alinéa 1 er LSEE, lequel tend à permettre et à assurer juridiquement la vie commune en Suisse auprès du conjoint suisse (ATF non publiés II A.575/2000 du 20 mars 2001 et II A 523/2000 du 27 février 2001). La recourante commet dès lors un abus de droit à se prévaloir de son mariage pour obtenir le renouvellement de ses conditions de séjour. C'est donc à bon droit que le SPOP a estimé que la demande de l’intéressée tendant au renouvellement de son autorisation de séjour au titre du regroupement familial était constitutive d’un abus de droit. 6.                L’autorité peut, il est vrai, admettre dans certains cas le renouvellement de l’autorisation de séjour en cas de divorce ou de rupture de l’union conjugale, notamment pour éviter des situations d’extrême rigueur (cf. Directives et commentaires de l’Office fédéral des migrations, état février 2004, ci-après Directives, ch.654).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de marché de l’emploi, le comportement et le degré d’intégration de l’intéressé ainsi que les circonstances qui ont conduit à la cessation de la vie commune. a) En l’occurrence, X._________ réside dans notre pays au bénéfice d’une autorisation de séjour depuis son mariage célébré en octobre 2002, soit depuis moins de deux ans. Si la durée de ce séjour n’est peut-être pas totalement insignifiante, elle n’est cependant pas suffisante pour être prise en considération. On relèvera à cet égard que la recourante ne saurait se prévaloir de son séjour antérieur au mariage, ce d’autant qu’elle n’avait pas respecté le délai de départ qui lui avait été imparti par le SPOP pour quitter le territoire vaudois à la suite de la décision du 13 février 2002 et avait par conséquent poursuivi son séjour sans autorisation (Directives, chiffre 824.a) par analogie). b) Les époux Z.________ n’ont pas eu d’enfant commun. c) Il convient d’examiner ensuite la question de la stabilité professionnelle de la recourante. Ne disposant pas de qualifications professionnelles particulières, celle-ci n’a travaillé que pendant deux mois depuis son arrivée dans notre pays et est actuellement sans revenu. d) En ce qui concerne les attaches de X._________ avec la Suisse, elles se limitent à la présence de sa demi-sœur, de sorte qu’on ne saurait considérer que son intégration est concrète et qu’elle aurait noué d’autres relations, notamment amicales, particulièrement intenses. A tout le moins, l’existence de telles attaches n’est-elle nullement établie, l’intéressée s’étant limitée à affirmer dans son recours qu’elle s’était créé un cercle de « connaissances » en Suisse. En revanche, et il s’agit là en définitive de la seule circonstance favorable à l’intéressée, le comportement de cette dernière dans notre pays n’a donné lieu à aucune plainte. Cet élément est à lui seul nettement insuffisant pour accorder l’autorisation sollicitée. 7.                En résumé, le SPOP n’a ni violé le droit ni abusé de son pouvoir d’appréciation en refusant de renouveler l’autorisation de séjour de la recourante. Le recours doit par conséquent être rejeté et la décision attaquée maintenue. Un nouveau délai de départ sera imparti à X._________ pour quitter le territoire vaudois (article 12 al. 3 LSEE). Vu l’issue du pourvoi, les frais du présent arrêt seront mis à la charge de la recourante, qui n’a pas droit à des dépens (article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