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PE.2004.0626 vom 28. April 2006</w:t>
      </w:r>
    </w:p>
    <w:p>
      <w:r>
        <w:t>VD Tribunal cantonal, 2006-04-28, FR</w:t>
      </w:r>
    </w:p>
    <w:p>
      <w:r>
        <w:rPr>
          <w:b/>
        </w:rPr>
        <w:t xml:space="preserve">Quelle: </w:t>
      </w:r>
      <w:r>
        <w:t>https://mcp.opencaselaw.ch/entscheid/vd_omni_PE.2004.0626</w:t>
      </w:r>
    </w:p>
    <w:p>
      <w:r>
        <w:t>FR: VD_OMNI PE.2004.0626 du 28 avril 2006</w:t>
      </w:r>
    </w:p>
    <w:p>
      <w:r>
        <w:t>IT: VD_OMNI PE.2004.0626 del 28 aprile 2006</w:t>
      </w:r>
    </w:p>
    <w:p>
      <w:pPr>
        <w:pStyle w:val="Heading2"/>
      </w:pPr>
      <w:r>
        <w:t>Regeste</w:t>
      </w:r>
    </w:p>
    <w:p>
      <w:r>
        <w:t>X /Service de la population (SPOP) | Le SPOP refuse de délivrer une autorisation de séjour à un ressortissant algérien ayant épousé une marocaine au bénéfice d'un permis B qui émarge à l'assistance publique depuis plusieurs années. Refus confirmé d'autant plus que les époux se sont séparés en cours de procédure.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1998/0135 du 30 septembre 1998, publié in RDAF 1999 I 242, c. 4). Conformément à la jurisprudence, il y a abus du pouvoir d'appréciation lorsqu'une autorité, usant des compétences qui lui sont dévolues par la loi, se laisse guider par des considérations non pertinentes ou étrangères au but des dispositions applicables, ou lorsqu'elle statue en violation des principes généraux du droit administratif que sont l'interdiction de l'arbitraire, l'égalité de traitement, la bonne foi et la proportionnalité (cf. ATF 116 V 307, c. 2). Quant à l'excès du pouvoir d'appréciation, on distingue suivant que l'autorité se reconnaît à tort une liberté d'appréciation dans un domaine où la loi ne lui en accorde pas ou, au contraire, s'estime à tort liée par la réglementation qu'elle applique alors qu'en réalité celle-ci lui accorde une certaine liberté d'appréciation (cf. notamment l'arrêt TA PE 1997/0615 du 10 février 1998).</w:t>
      </w:r>
    </w:p>
    <w:p>
      <w:r>
        <w:rPr>
          <w:b/>
        </w:rPr>
        <w:t>E. 4</w:t>
      </w:r>
    </w:p>
    <w:p>
      <w:r>
        <w:t>En l’occurrence, c’est à juste titre que l’autorité intimée s’est référée dans le cas présent aux art. 38 et 39 OLE pour statuer sur la demande de regroupement familial qui lui était présentée, dans la mesure où l’épouse du recourant est de nationalité marocaine et ne bénéficie pas d’un permis d’établissement. Selon l'art. 39 al. 1 OLE, l'étranger peut être autorisé à faire venir sa famille sans délai d'attente lorsque : a.         son séjour et, le cas échéant, son activité lucrative paraissent suffisamment stables; b.         il vit en communauté avec elle et dispose à cet effet d'une habitation convenable; c.         il dispose de ressources financières suffisantes pour l'entretenir et d.         la garde des enfants ayant encore besoin de la présence des parents est assurée. Les conditions énumérées à l’art. 39 OLE sont cumulatives et contrairement au conjoint étranger d'un citoyen suisse ou d'un étranger établi, l'étranger qui rejoint son conjoint titulaire d'une autorisation de séjour à l'année ne possède pas en principe un droit à l'octroi d'une autorisation de séjour. Dans certains cas exceptionnels, il est vrai qu’une personne ne disposant que d’une autorisation de séjour peut être considérée comme ayant un droit à la prolongation de cette autorisation de séjour et par là un droit de présence reconnu lui permettant de faire appel à l’art. 8 CEDH et 13 Cst. afin d’obtenir une autorisation de séjour pour son conjoint et ses enfants. Cette protection n’existe toutefois pas en présence de motifs de non-renouvellement ou de révocation de l’autorisation prescrits par les art. 9 et 10 LSEE, tel que le fait d’émarger de manière continue et dans une large mesure à l’assistance publique comme c’est le cas de l’épouse du recourant (art. 10 al. 1 er litt. d LSEE ; ATF 130 II 281, cons. 3.2). On ne peut par ailleurs pas reprocher à l’autorité intimée d’avoir considéré que la demande de regroupement familial ne satisfaisait pas à la condition prescrite par la lettre c de l’art. 39 OLE. Il n’a en effet pas été établi, ni même rendu vraisemblable, que le couple pourrait à court terme jouir d’une situation financière saine et ne plus recourir à l’aide sociale. Il est au contraire apparu que les seuls revenus du recourant ne suffisaient pas à couvrir le budget de la famille, alors que son épouse n’avait pas mis à profit sa capacité de travail depuis plusieurs années. Enfin, le couple s’étant séparé en cours de procédure, il s’avère que la condition de la lettre b de l’art. 39 OLE n’est pas non plus respectée. 5.                Partant, le recours ne peut être que rejeté et la décision entreprise confirmée. Succombant, le recourant doit supporter l’émolument judiciaire et n’a pas droit à des dépens (art. 55 al. 1 LJPA). Un nouveau délai de départ lui sera en outre imparti par le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