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PE.2004.0598 vom 13. März 2006</w:t>
      </w:r>
    </w:p>
    <w:p>
      <w:r>
        <w:t>VD Tribunal cantonal, 2006-03-13, FR</w:t>
      </w:r>
    </w:p>
    <w:p>
      <w:r>
        <w:rPr>
          <w:b/>
        </w:rPr>
        <w:t xml:space="preserve">Quelle: </w:t>
      </w:r>
      <w:r>
        <w:t>https://mcp.opencaselaw.ch/entscheid/vd_omni_PE.2004.0598</w:t>
      </w:r>
    </w:p>
    <w:p>
      <w:r>
        <w:t>FR: VD_OMNI PE.2004.0598 du 13 mars 2006</w:t>
      </w:r>
    </w:p>
    <w:p>
      <w:r>
        <w:t>IT: VD_OMNI PE.2004.0598 del 13 marzo 2006</w:t>
      </w:r>
    </w:p>
    <w:p>
      <w:pPr>
        <w:pStyle w:val="Heading2"/>
      </w:pPr>
      <w:r>
        <w:t>Regeste</w:t>
      </w:r>
    </w:p>
    <w:p>
      <w:r>
        <w:t>X /Service de la population (SPOP) | Autorisation de séjour pour raisons médicales refusée à un ressortissant marocain qui n'a pas démontré la nécessité de suivre un traitement en Suisse.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3</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En l'espèce le recourant est entré en Suisse le 19 juin 2004 au bénéfice d'un visa touristique, limité à 63 jours. Le SPOP fait valoir qu'il était donc lié par les motifs d'octroi et la durée dudit visa, ce qui est exact. Le Tribunal administratif a en effet jugé à de nombreuses reprises que l'autorité intimée peut imposer le respect de l'art. 10 al. 3 du Règlement d'exécution du 1 er mars 1949 de la LSEE (RSEE; RS 142.201), disposition selon laquelle les obligations assumées par l'étranger au cours de la procédure d'autorisation et ses déclarations, en particulier sur les motifs de son séjour, le lient à l'égal des conditions fixées par l'autorité, lorsqu'il souhaite demeurer dans notre pays après l'échéance de validité de son visa (voir notamment l'arrêt TA PE.2004.0500 du 7 janvier 2005 consid. 4 et les arrêts cités). Ces principes sont d'ailleurs confirmés à l'art. 11 al. 3 de l'Ordonnance du 14 janvier 1998 concernant l'entrée et la déclaration d'arrivée des étrangers du 14 janvier 1998 (OEArr; RS 142.211), selon lequel " l'étranger est lié par les indications qui figurent dans son visa concernant le but de son voyage et de son séjour ".</w:t>
      </w:r>
    </w:p>
    <w:p>
      <w:r>
        <w:rPr>
          <w:b/>
        </w:rPr>
        <w:t>E. 5</w:t>
      </w:r>
    </w:p>
    <w:p>
      <w:r>
        <w:t>Il est vrai que l'art. 33 de l'Ordonnance du 6 octobre 1986 limitant le nombre des étrangers (OLE; RS 823.21) prévoit que des autorisations de séjour peuvent être accordées à des personnes devant suivre un traitement médical lorsque : a. La nécessité du traitement est attestée par un certificat médical; b. Le traitement se déroule sous contrôle médical; c. Les moyens financiers nécessaires sont assurés. Les conditions mentionnées aux lettres a à c sont cumulatives. En l'espèce, bien que le recourant ait été suivi par deux médecins et qu'il ait subi, selon toute vraisemblance, une intervention chirurgicale, rien ne permet d'affirmer qu'un traitement médical en Suisse est indispensable. L'intéressé a en effet subi un certain nombre d'examens pour déterminer les causes de son incapacité à pouvoir procréer et il n'est pas établi qu'il doive par la suite suivre un traitement. Aucun certificat médical allant dans ce sens n'a d'ailleurs été produit, bien que le tribunal l'ait demandé. La nécessité du traitement médical n'ayant pas été apportée, il est dès lors superflu de se demander si un tel traitement devait obligatoirement être suivi sur place ou s'il pouvait être effectué sous le contrôle d'un médecin dans le pays d'origine. S'agissant enfin des moyens financiers nécessaires à un traitement, le recourant dit avoir fourni suffisamment de preuves. Or, bien que cet élément ne soit pas déterminant, dans la mesure où l'une des conditions pour être autorisé à séjourner dans le pays pour y suivre un traitement médical n'est pas remplie, il convient néanmoins de constater que le document produit (extrait du registre du commerce) est insuffisant. Il n'apporte pas la preuve que l'intéressé dispose de moyens financiers suffisants pour payer les frais d'un traitement médical coûteux, quand bien même il a allégué avoir déjà payé une partie des frais encourus. En définitive, même en admettant que le recourant souhaite encore suivre un traitement médical ou qu'il doive subir des contrôles médicaux en Suisse, il n'a pas établi qu'une autorisation de séjour pour raisons médicales lui serait nécessaire, respectivement que le traitement, les contrôles et les interventions ne pourraient pas avoir lieu à l'occasion de séjours touristiques. L'autorité intimée n'a donc pas abusé de son pouvoir d'appréciation en refusant de délivrer au recourant l'autorisation de séjour sollicitée pour raisons médicales.</w:t>
      </w:r>
    </w:p>
    <w:p>
      <w:r>
        <w:rPr>
          <w:b/>
        </w:rPr>
        <w:t>E. 6</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