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PE.2004.0207 vom 24. Januar 2005</w:t>
      </w:r>
    </w:p>
    <w:p>
      <w:r>
        <w:t>VD Tribunal cantonal, 2005-01-24, FR</w:t>
      </w:r>
    </w:p>
    <w:p>
      <w:r>
        <w:rPr>
          <w:b/>
        </w:rPr>
        <w:t xml:space="preserve">Quelle: </w:t>
      </w:r>
      <w:r>
        <w:t>https://mcp.opencaselaw.ch/entscheid/vd_omni_PE.2004.0207</w:t>
      </w:r>
    </w:p>
    <w:p>
      <w:r>
        <w:t>FR: VD_OMNI PE.2004.0207 du 24 janvier 2005</w:t>
      </w:r>
    </w:p>
    <w:p>
      <w:r>
        <w:t>IT: VD_OMNI PE.2004.0207 del 24 gennaio 2005</w:t>
      </w:r>
    </w:p>
    <w:p>
      <w:pPr>
        <w:pStyle w:val="Heading2"/>
      </w:pPr>
      <w:r>
        <w:t>Regeste</w:t>
      </w:r>
    </w:p>
    <w:p>
      <w:r>
        <w:t>c/Office cantonal de la main-d'oeuvre et du placement (OCMP), | L'OCMP peut se prévaloir de sa pratique constante, confirmée par le TA, pour n'autoriser que les étrangers titulaires d'un permis C, conjoints de ressortissants suisses ou pouvant bénéficier de l'Accord sur la libre circulation des personnes à exercer une activité à titre indépendant. Deux ressortissants de Malaisie ne peuvent pas être considérés comme travailleurs dépendants lorsqu'ils se disent employés d'une société à responsabilité limitée qu'ils sont seuls à pouvoir engager en tant qu'associés gérants. En l'espèce, des indices suffisants laissent penser que la société est un artifice juridique visant à contourner une interdiction d'exercer une activité à titre indépendant. Recours rejetés.</w:t>
      </w:r>
    </w:p>
    <w:p>
      <w:pPr>
        <w:pStyle w:val="Heading2"/>
      </w:pPr>
      <w:r>
        <w:t>Erwägungen</w:t>
      </w:r>
    </w:p>
    <w:p>
      <w:r>
        <w:rPr>
          <w:b/>
        </w:rPr>
        <w:t>E. 1</w:t>
      </w:r>
    </w:p>
    <w:p>
      <w:r>
        <w:t>A teneur de l'art. 16 de la Loi fédérale du 26 mars 1931 sur le séjour et l'établissement des étrangers (LSEE), les autorités doivent tenir compte, pour les autorisations, des intérêts moraux et économiques du pays ainsi que du degré de surpopulation étrangère. En vertu de l'art. 4 LSEE, l'autorité statue librement, dans le cadre des prescriptions légales et des traités avec l'étranger, sur l'octroi de l'autorisation de séjour. Ainsi, les ressortissants étrangers ne bénéficient d'aucun droit à l'obtention d'une autorisation de séjour et de travail (voir PE.1998.0238 du 10 novembre 1998, en particulier).</w:t>
      </w:r>
    </w:p>
    <w:p>
      <w:r>
        <w:rPr>
          <w:b/>
        </w:rPr>
        <w:t>E. 2</w:t>
      </w:r>
    </w:p>
    <w:p>
      <w:r>
        <w:t>Les recourants X.________Sàrl, Z.________et Y.________ sollicitent, pour ces derniers, l'autorisation d'exercer une activité dépendante au sein d'une société à responsabilité limitée dont ils sont les associés gérants avec signature collective à deux. La société en question, inscrite au Registre du commerce du canton de Vaud a, de ce fait, la personnalité juridique (art. 783 al. 1 du Code de obligations). Les recourants Z.________et Y.________ sont seuls gérants de la recourante X.________Sàrl qu'ils peuvent engager. Z.________a signé le formulaire " contrat-type de travail " le concernant d'abord en tant qu'employeur, au nom de X.________Sàrl, puis en son nom propre, comme employé. Y.________ a signé le formulaire " contrat-type de travail " le concernant en tant qu'employé. Le tampon de X.________Sàrl figure seul (sans signature manuscrite) à l'emplacement réservé à la signature de l'employeur. Les questions de la qualification et de la validité de ces documents peuvent rester ouvertes. A la lecture de ces documents, il apparaît clairement que les intéressés exercent, au travers de leur société, non pas une activité dépendante, mais bien indépendante, en qualité d'associés gérants d'une société à responsabilité limitée avec pouvoir d'engager la société. Par surabondance, l'autorité intimée a écrit au recourant Z.________le 1 er juillet 2003 qu'il n'était pas autorisé à exercer une activité indépendante en Suisse. L'autorité intimée a écrit le 21 juillet 2003 à Y.________ dans le même sens. Peu de temps après, soit le 25 août 2003, X.________Sàrl a été inscrite au Registre du commerce du canton de Vaud. Les intéressés ont par la suite sollicité de l'autorité intimée l'autorisation d'exercer une activité à titre dépendant. De ce qui précède, des indices suffisants montrent à satisfaction de droit qu'au travers de la société recourante, les intéressés ont cherché à contourner la difficulté résultant de la décision leur refusant l'exercice d'une activité indépendante dans notre pays. En conséquence, les recourants Z.________et Y.________ doivent être traités comme s'ils sollicitaient l'autorisation d'exercer une activité indépendante. 3.                Conformément à l'art. 42 al. 1 litt. c de l'Ordonnance du 6 octobre 1986 limitant le nombre des étrangers (OLE) l'autorité cantonale compétente pour autoriser un étranger à exercer, à titre exceptionnel, une activité lucrative indépendante est l'intimée (PE.1998.0238 du 10 novembre 1998, déjà cité). S'agissant de l'exercice d'une activité lucrative indépendante, le tribunal de céans a déjà eu l'occasion d'affirmer qu'en principe seuls les étrangers titulaires d'un permis d'établissement ou époux d'une Suissesse, respectivement épouse d'un ressortissant suisse, peuvent être autorisés à exercer une activité indépendante, cette pratique se justifiant par le caractère plus précaire des autorisations de séjour et de travail annuelles et par la nécessité d'éviter qu'un ressortissant étranger, dont l'autorisation de séjour et de travail n'est pas automatiquement renouvelable, ne contracte des dettes et prenne des engagements qu'il ne pourrait peut-être pas respecter (PE.2000.0416 et PE.2000.0486 du 29 janvier 2001; v. ég. PE.1992.0291 du 13 novembre 1992 et PE.1992.0695 du 6 avril 1993, implicitement confirmés par l'arrêt PE.1998.0238 du 10 novembre 1998). On ne voit pas en l'espèce quels éléments justifieraient de s'écarter de la pratique de l'OCMP et de cette jurisprudence dont le ratio conserve sa pertinence même dans le cas d'un établissement public (PE.2000.0416 et PE.2000.0486 du 29 janvier 2001, déjà cité). En l'espèce, l'autorité intimée se réfère précisément à cette pratique s'agissant des ressortissants hors union européenne. Or, les recourants Z.________et Y.________ ne sont ni titulaires d'une autorisation d'établissement (permis C), ni conjoints de ressortissants suisses. En conséquence, ils ne peuvent prétendre à la délivrance d'une autorisation d'exercer une activité à titre indépendant. Leurs conclusions ne peuvent être accueillies. 4.                Compte tenu de ce qui précède, les décisions du 23 mars 2004 et du 30 juin 2004 de l'intimée sont conformes à la loi et ne relèvent pas d'un abus du pouvoir d'appréciation : l'autorité ne s'est pas laissé guider par des considérations non pertinentes ou étrangères au but des dispositions applicables; elle n'a pas statué en violation des principes généraux du droit administratif (interdiction de l'arbitraire, légalité de traitement, bonne foi et proportionnalité; ATF 110 V 365 consid. 3b in fine; 108 Ib 205 consid. 4a). En conséquence, les décisions du 23 mars 2004 et du 30 juin 2004 de l'intimée doivent être confirmées. Un émolument de recours doit être mis à la charge des recourants Z.________et Y.________, déboutés (art. 38 al. 1 et 55 al. 1 de la loi vaudoise du 18 décembre 1989 sur la juridiction et la procédure administratives).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