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PE.2004.0102 vom 6. Oktober 2004</w:t>
      </w:r>
    </w:p>
    <w:p>
      <w:r>
        <w:t>VD Tribunal cantonal, 2004-10-06, FR</w:t>
      </w:r>
    </w:p>
    <w:p>
      <w:r>
        <w:rPr>
          <w:b/>
        </w:rPr>
        <w:t xml:space="preserve">Quelle: </w:t>
      </w:r>
      <w:r>
        <w:t>https://mcp.opencaselaw.ch/entscheid/vd_omni_PE.2004.0102</w:t>
      </w:r>
    </w:p>
    <w:p>
      <w:r>
        <w:t>FR: VD_OMNI PE.2004.0102 du 6 octobre 2004</w:t>
      </w:r>
    </w:p>
    <w:p>
      <w:r>
        <w:t>IT: VD_OMNI PE.2004.0102 del 6 ottobre 2004</w:t>
      </w:r>
    </w:p>
    <w:p>
      <w:pPr>
        <w:pStyle w:val="Heading2"/>
      </w:pPr>
      <w:r>
        <w:t>Regeste</w:t>
      </w:r>
    </w:p>
    <w:p>
      <w:r>
        <w:t>Service de la population (SPOP) | Décision de renvoi du recourant après son divorce avec son épouse suissesse dont il a eu un enfant, fondée sur son comportement (condamnations pénales et dettes) et l'intervention des services sociaux en sa faveur. Il ne paie pas non plus la pension alimentaire de son enfant.</w:t>
      </w:r>
    </w:p>
    <w:p>
      <w:pPr>
        <w:pStyle w:val="Heading2"/>
      </w:pPr>
      <w:r>
        <w:t>Erwägungen</w:t>
      </w:r>
    </w:p>
    <w:p>
      <w:r>
        <w:rPr>
          <w:b/>
        </w:rPr>
        <w:t>E. 17</w:t>
      </w:r>
    </w:p>
    <w:p>
      <w:r>
        <w:t>al. 2 LSEE; chiffres 624.2 et 633). Conformément à l'art. 12 al. 2 OLE, la prolongation de l'autorisation de séjour ne nécessite pas d'imputation sur le contingent. Ceci vaut également si l'étranger n'a auparavant jamais exercé d'activité lucrative". En l'espèce, le SPOP oppose au recourant des motifs d'expulsion en raison du fait qu'il a fait l'objet de deux condamnations pénales et qu'il émarge à l'assistance publique pour un montant très important (art. 10 al. 1 litt. a et litt. d LSEE). L'autorité intimée relève que l'oisiveté du recourant ne saurait s'expliquer uniquement par ses problèmes de santé. Elle relève qu'il ne paie pas la pension alimentaire de son enfant et qu'il n'exerce pas régulièrement son droit de visite, selon la mère de sa fille. Le SPOP considère qu'il n'est pas démontré qu'il a des liens étroits et effectifs avec son enfant et relève a fortiori que l'art. 8 al. 2 CEDH lui permet de s'ingérer de l'exercice du droit à la protection de la vie familiale pour des motifs légitimes dont les conditions sont réalisées en l'espèce. Le recourant relève de son côté que les sanctions pénales prononcées à son encontre sont mineures. S'il admet qu'il a payé irrégulièrement les contributions d'entretien mises à sa charge et qu'il a eu recours aux prestations des services sociaux, il plaide un besoin d'assistance non fautif par le fait qu'il souffre d'une spondilarthrose arthrite qui l'a empêché de travailler et qui est actuellement traitée en Suisse, le traitement étant de surcroît indisponible dans le pays d'origine. Il invoque ensuite essentiellement la longueur de son séjour et le fait surtout que son renvoi compromettrait les relations personnelles qu'il entretient avec son enfant et le développement de celui-ci. Il insiste sur le fait qu'il a obtenu la garde commune de sa fille et que le jugement de divorce lui a assuré la possibilité de garder des relations personnelles et de participer à toutes les décisions importantes concernant l'avenir de son enfant. Il explique qu'au moment de son audition par la police, son ex-épouse a fait des déclarations qui ne correspondaient pas à la vérité et qu'elle tenait à rectifier, ce qu'elle a fait par une déclaration écrite (v. pièce no 5). 2.                     En l'espèce, le recourant est arrivé en Suisse au mois de mars 1997 et a vécu auprès de son épouse jusqu'au mois de juin 1998, soit pendant à peine plus d'une année. Une telle durée est très brève. Le divorce a été prononcé plus de cinq années après la célébration du mariage. Même si le mariage a duré juridiquement près de six ans, l'union conjugale a cessé des années auparavant et s'est limitée pendant plusieurs années à un lien purement formel (le divorce a été prononcé une première fois par défaut en 2000 déjà, avant d'être annulé). Il reste que le recourant a une attache importante avec la Suisse en la personne de sa fille, issue de cette union et âgée actuellement de sept ans. En revanche, depuis son arrivée dans notre pays, le recourant a donné lieu à des plaintes qui ont débouché sur deux condamnations pénales. Il n'a fait preuve d'aucune stabilité professionnelle. Il a accumulé les dettes et recouru aux prestations de l'assistance publique pour une somme très importante. Il n'a pas non plus été en mesure d'honorer le paiement de la pension alimentaire de sa fille. Au 24 avril 2003, il était ainsi débiteur du BRAPA d'une somme de 47'393.05 francs (pièce no 3). Certes, le recourant souffre-t-il d'une affection rhumatologique inflammatoire ayant entraîné une incapacité de travailler complète depuis deux ans et d'autres incapacités de travailler pour des époques antérieures (v. pièces nos 6 et 7). Le tribunal retient de ce qui précède que l'ASV est cependant intervenue en faveur du recourant dès son arrivée et jusqu'en 2000, soit à des périodes non couvertes par les certificats médicaux au dossier, et ce aussi pour des périodes subséquentes. Au 7 janvier 200, l'ASV avait en effet déjà versé des prestations pour un montant de 68'477 francs pour le seul recourant, sans compter son épouse (v. formulaire rempli par le CSR le 25 juillet 2000). Il faut en inférer que le recourant ne s'est manifestement pas donné d'emblée les moyens de réussir son intégration, notamment professionnelle. Au contraire, il a démontré tout de suite son manque d'ardeur au travail et une absence de scrupules à solliciter l'intervention de la collectivité publique en dépit de son jeune âgée (il est né en 1970). Son manque de conscience s'est encore illustré en 1999 lorsqu'il n'a pas hésité à commettre des vols au préjudice de son employeur, circonstance qui n'a pas empêché d'autres entreprises de l'engager par la suite. En dépit d'un séjour actuel s'élevant à sept ans, le recourant ne démontre pas une intégration marquée au point de rendre son renvoi inexigible. Du point de vue de l'évolution de l'état de santé du recourant, est décisif le fait que le recourant dispose désormais d'un traitement, quand bien on ne trouve aucune explication quant aux raisons pour lesquelles celui-ci n'a pas été mis en œuvre plus vite. Quoi qu'il en soit, ce traitement est concluant puisque le recourant a repris une activité professionnelle pendant la durée de la présente procédure. Le fait que le traitement ne serait pas disponible à l'étranger – ce qui compromettrait sa poursuite - n'est pas établi à satisfaction de droit (l'avis du médecin-traitant  n'est pas assimilable à celui d'un expert : ATF 125 V 351). Il faut encore examiner la situation de manière plus approfondie sous l'angle de l'enfant et du maintien des relations personnelles entre le recourant et sa fille. Dans le cadre de l'art. 8 al. 1 CEDH qui garantit la protection de la vie familiale, le Tribunal fédéral effectue une pesée des intérêts publics et privés en présence. Dans ce cadre, il examine en particulier l'intensité des relations entretenues par la personne qui se réclame de cette disposition conventionnelle avec la personne de sa famille qui établie en Suisse, en particulier la fréquence du droit de visite, et vérifie aussi si et dans quelle mesure les contributions d'entretien allouées en faveur de l'enfant résidant en Suisse sont versées (ATF 2A/19/2000 du 28 février 2000; ATF 2A/73/1999 du 26 avril 1999; ATF 2P.456/1993 du 19 avril 1994). En l'espèce, le recourant voyait régulièrement sa fille au moment du divorce. Lors de leurs auditions en 2003, les ex-époux ont fait des déclarations totalement contradictoires quant aux relations entretenues par le père et son enfant. Devant l'autorité de céans, l'ex-épouse est revenue sur ses premières déclarations, écrivant qu'il était essentiel que X.________puisse continuer à voir régulièrement sa fille. On ne peut exclure le fait que ce revirement ait satisfait une demande du recourant dans ce sens, pour les besoins de la présente procédure. Selon la version la plus favorable au recourant, celui-ci exercerait plutôt un droit de visite (deux fois par semaine selon ses déclarations du 20 juin 2003), quand bien il dispose de la garde commune de l'enfant par le jugement de divorce. Quoi qu'il en soit, il est constant que les pensions alimentaires restent avancées par le BRAPA qui obtient de l'office des poursuites quelques acomptes en remboursement. Une ingérence dans l'exercice du droit au respect de la vie privée et familiale n'est possible selon l'art. 8 § 2 CEDH que pour autant que cette ingérence est prévue par la loi et qu'elle est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120 Ib 1 relatif à l'intérêt public légitime à la limitation de la population étrangère face à l'intérêt privé d'un père et sa fille à conserver des relations familiales étroites). En l'espèce, le recourant n'a jamais démontré être capable d'assurer son entretien ni celui de sa famille sur le long terme. Ainsi depuis son arrivée en Suisse et avant déjà qu'il ne soit malade, il a dépendu dans une large mesure de l'assistance publique. Le motif d'expulsion de l'art. 10 al. 1 lit. d LSEE lui est opposable et permet d'interférer dans sa sphère privée et familiale pour le bien-être économique du pays, au sens de l'art. 8 § 2 CEDH. En effet, on ne peut attendre de la collectivité publique de ce pays qu'elle doive supporter davantage l'absence d'autonomie financière du recourant dont il apparaît qu'elle n'est de loin pas totalement non fautive. Dans le cadre de la pesée des intérêts en présence, il faut relever que seul l'éloignement du recourant permettra d'empêcher le recourant d'aggraver son endettement en Suisse (outre l'ASV, le recourant a 23 actes de défaut de biens pour un montant avoisinant les 60'000 francs.). Dans le cadre de la pesée des intérêts en présence, il faut relever que l'enfant ne dispose pas du soutien financier de son père. De son côté, le recourant pourra conserver des liens avec sa fille, si tant est qu'ils existent, dans le cadre des séjours touristiques autorisés par la loi, cas échéant par l'aménagement d'un droit de visite/garde tenant compte de l'éloignement géographique. La décision attaquée, qui ne procède pas d'un abus du pouvoir d'appréciation du SPOP, doit être confirmée. 3.                     Les considérants qui précèdent conduisent au rejet du recours. Le recourant ayant été dispensé du paiement de l'avance de frais, l'arrêt sera rendu sans frais ni dépens. Un nouveau délai de départ doit être imparti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