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PE.2004.0092 vom 13. August 2004</w:t>
      </w:r>
    </w:p>
    <w:p>
      <w:r>
        <w:t>VD Tribunal cantonal, 2004-08-13, FR</w:t>
      </w:r>
    </w:p>
    <w:p>
      <w:r>
        <w:rPr>
          <w:b/>
        </w:rPr>
        <w:t xml:space="preserve">Quelle: </w:t>
      </w:r>
      <w:r>
        <w:t>https://mcp.opencaselaw.ch/entscheid/vd_omni_PE.2004.0092</w:t>
      </w:r>
    </w:p>
    <w:p>
      <w:r>
        <w:t>FR: VD_OMNI PE.2004.0092 du 13 août 2004</w:t>
      </w:r>
    </w:p>
    <w:p>
      <w:r>
        <w:t>IT: VD_OMNI PE.2004.0092 del 13 agosto 2004</w:t>
      </w:r>
    </w:p>
    <w:p>
      <w:pPr>
        <w:pStyle w:val="Heading2"/>
      </w:pPr>
      <w:r>
        <w:t>Regeste</w:t>
      </w:r>
    </w:p>
    <w:p>
      <w:r>
        <w:t>c/SPOP | Confirmation du refus du SPOP de délivrer une autorisation de séjour par regroupement famililal à un ressortissant camerounais ayant obtenu le mariage d'une ressortissante suisse de 42 ans son aînée. Mariage de complaisance retenu.</w:t>
      </w:r>
    </w:p>
    <w:p>
      <w:pPr>
        <w:pStyle w:val="Heading2"/>
      </w:pPr>
      <w:r>
        <w:t>Erwägungen</w:t>
      </w:r>
    </w:p>
    <w:p>
      <w:r>
        <w:rPr>
          <w:b/>
        </w:rPr>
        <w:t>E. 4</w:t>
      </w:r>
    </w:p>
    <w:p>
      <w:r>
        <w:t>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b) Selon l'art. 31 LJPA, le recours s'exerce dans les vingt jours à compter de la communication de la décision attaquée. En l'espèce, le recours a été déposé en temps utile et satisfait par ailleurs aux autres conditions formelles énoncées à l'art. 31 al. 2 et 3 LJPA. En outre, le recourant, en tant que destinataire de la décision attaquée, a manifestement qualité pour agir au sens de l'art. 37 al. 1 LJPA, de sorte qu'il y a lieu d'entrer en matière sur le fond. 2.                     Aux termes de l'art. 1a de la loi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ou de la loi. 3.                          a) A teneur de l'art. 7 al. 1 de la loi fédérale du 26 mars 1931 sur le séjour et l'établissement des étrangers (ci-après : LSEE), le conjoint étranger d'un ressortissant suisse a droit à l'octroi et à la prolongation de l'autorisation de séjour; selon l'art. 7 al. 2 LSEE toutefois, ce droit n'existe pas lorsque le mariage a été contracté dans le but d'éluder les dispositions sur le séjour et l'établissement des étrangers.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La grande différence d'âge entre les époux, l'existence d'une interdiction d'entrée en Suisse prononcée contre le conjoint étranger, le risque de renvoi de Suisse du conjoint étranger,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et les réf. cit.). b) Dans le cas particulier, Y.________ X.________ a rencontré le recourant dans un garage de pneumatiques à 2.********. Une semaine plus tard, l'intéressé s'est rendu à 1.******** pour lui proposer le mariage, en expliquant qu'il pourrait ainsi rester en Suisse. Les tentatives d'un mariage en Suisse ayant échoué, le recourant a suggéré un mariage au Cameroun; toutes les démarches ont été entreprises par le père de l'intéressé et le mariage a été célébré le 13 février 2002, quatre jours après l'arrivée des intéressés au Cameroun. Il est donc établi que le mariage constituait, pour le recourant, le seul moyen de poursuivre son séjour en Suisse. C'est lui qui l'a proposé à sa femme, lors de leur deuxième rencontre seulement. En outre, il faut relever que les époux n'ont vécu ensemble à 1.******** que pendant une semaine. L'épouse, dont les enfants étaient opposés au mariage, a admis qu'elle s'était mariée à la fois pour une question de permis de séjour et par amour. La différence d'âge entre époux est considérable puisqu'elle est de 42 ans. Comme le rapport de police du 28 octobre 2003 le relève, Y.________ ne se rend pas compte de la situation dans laquelle elle s'est mise et pense encore naïvement que son époux vivrait durablement auprès d'elle s'il était autorisé à entrer en Suisse. Il est enfin troublant de constater que l'épouse ne se souvenait plus du prénom de son mari à l'occasion d'un entretien téléphonique avec un représentant du SPOP. De plus, le recourant, dans l'acte de recours, n'indique pas le nom de famille actuelle de sa femme mais son nom de jeune fille. L'ensemble de ces éléments de faits (circonstances de la rencontre, défaut d'un droit de séjour en Suisse du conjoint, rapidité de la décision de se marier, très grande différence d'âge et absence de vie commune réelle) permet de retenir que le mariage a été dicté avant tout par l'intérêt du recourant à pouvoir séjourner en Suisse. L'autorité intimée n'a donc pas abusé de son pouvoir d'appréciation en retenant l'existence d'un mariage de complaisance, au vu des nombreux indices probants du dossier. Sa décision du 17 novembre 2003 était fondée et doit en conséquence être maintenue. 4.                     Vu ce qui précède, le recours doit être rejeté. L'émolument judiciaire sera en conséquence mis en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