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PE.2004.0003 vom 26. April 2004</w:t>
      </w:r>
    </w:p>
    <w:p>
      <w:r>
        <w:t>VD Tribunal cantonal, 2004-04-26, FR</w:t>
      </w:r>
    </w:p>
    <w:p>
      <w:r>
        <w:rPr>
          <w:b/>
        </w:rPr>
        <w:t xml:space="preserve">Quelle: </w:t>
      </w:r>
      <w:r>
        <w:t>https://mcp.opencaselaw.ch/entscheid/vd_omni_PE.2004.0003</w:t>
      </w:r>
    </w:p>
    <w:p>
      <w:r>
        <w:t>FR: VD_OMNI PE.2004.0003 du 26 avril 2004</w:t>
      </w:r>
    </w:p>
    <w:p>
      <w:r>
        <w:t>IT: VD_OMNI PE.2004.0003 del 26 aprile 2004</w:t>
      </w:r>
    </w:p>
    <w:p>
      <w:pPr>
        <w:pStyle w:val="Heading2"/>
      </w:pPr>
      <w:r>
        <w:t>Regeste</w:t>
      </w:r>
    </w:p>
    <w:p>
      <w:r>
        <w:t>c/SPOP | Le recourant a été condamné pour recel, blanchiment d'argent et infraction grave à la LFStup à une lourde peine privative de liberté (5 ans ferme). Ses attaches avec la Suisse consistent par ailleurs dans la relation qu'il entretient avec son épouse et sa fille. Le mariage des époux étant intervenu postérieurement à l'activité délictuelle du recourant et à sa condamnation, l'épouse avait toutes les raisons d'envisager au moment du mariage l'éventualité de devoir vivre à l'étranger. Au vu des circonstances, l'ingérence de l'intimée dans le droit garanti par le § 8 CEDH reste cependant admissible compte tenu de la gravité du danger que représente le recourant pour l'ordre et la sécurité publics.</w:t>
      </w:r>
    </w:p>
    <w:p>
      <w:pPr>
        <w:pStyle w:val="Heading2"/>
      </w:pPr>
      <w:r>
        <w:t>Erwägungen</w:t>
      </w:r>
    </w:p>
    <w:p>
      <w:r>
        <w:rPr>
          <w:b/>
        </w:rPr>
        <w:t>E. 7</w:t>
      </w:r>
    </w:p>
    <w:p>
      <w:r>
        <w:t>al. 1 LSEE, le conjoint étranger d'un ressortissant suisse a droit à l'octroi et à la prolongation de l'autorisation de séjour (1 ère phrase). Ce droit s'éteint s'il existe un motif d'expulsion (3 ème phrase). Dans le cas présent, le SPOP invoque tout d'abord l'art. 10 al. 1 litt. a et b LSEE pour justifier sa décision, estimant que le comportement du recourant est constitutif d'un motif d'expulsion. Selon cette disposition, un étranger ne peut être expulsé de Suisse ou d'un canton que pour les motifs suivants : s'il a été condamné par une autorité judiciaire pour crime ou délit (litt. a) ou si sa conduite, dans son ensemble, et ses actes permettent de conclure qu'il ne veut pas s'adapter à l'ordre établi dans le pays qui lui offre l'hospitalité ou qu'il n'en est pas capable (litt. b). L'expulsion ne sera prononcée que si elle paraît appropriée à l'ensemble des circonstances (art. 11 al. 3 1ère phrase LSEE), ce qui suppose de la part de l'autorité administrative une appréciation complète de la situation, en tenant compte de la gravité de la faute commise, de la durée du séjour en Suisse de l'intéressé et du préjudice que ce dernier aurait à subir avec sa famille du fait de l'expulsion (art. 16 al. 3 RSEE). Ainsi, lorsqu'il existe des motifs d'expulsion au sens de l'art. 10 LSEE, il faut considérer en premier lieu la gravité des actes commis, ainsi que la situation personnelle et familiale de l'expulsé (ATF 122 II 433 consid. 3b p. 39 ss.). Selon la jurisprudence, des infractions pénales ayant justifié une peine privative de liberté de deux ans ou plus justifient en principe une expulsion, sous réserve de circonstances exceptionnelles requérant une solution différente (ATF 120 Ib 6, ATF 110 Ib 201). b) X.________ peut également se prévaloir du droit au respect de la vie privée et familiale garanti par l'art. 8 CEDH, respectivement par l'art. 13 Cst qui a une portée matérielle identique (ATF 126 II 377, cons. 7), pour s'opposer à l'éventuelle séparation de sa famille et obtenir la délivrance d'une autorisation de séjour. Il n'est en effet nullement contesté par l'autorité intimée que les relations qu'il entretient avec son épouse, de nationalité suisse, sont restées, malgré son incarcération, intactes et sérieusement vécues (sur ces exigences, cf. notamment ATF 122 II 1, cons. 1e; 122 II 289, cons. 1b; 124 II 361, cons. 1b et 126 II 377, cons. 2b/aa). Par ailleurs, rien ne permet de mettre en doute la qualité des relations qu'il entretient avec son enfant. Cependant, à l'instar du droit fondé sur l'art. 7 al. 1 LSEE, le droit au respect de la vie privée et familiale garanti par l'art. 8 § 1 CEDH n'est pas absolu. L'art. 8 § 2 CEDH autorise en effet l'ingérence d'une autorité publique dans l'exercice de ce droit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L'art. 36 Cst, qui prescrit que toute restriction à un droit fondamental doit être fondée sur une base légale (al. 1), être justifiée par un intérêt public (al. 2), être proportionnée au but visé (al. 3) et que l'essence des droit fondamentaux est inviolable (al. 4), ne va pas moins loin que l'art. 8 § 2 CEDH (ATF 126 II 425, cons. 5a). 7.                     a) Le refus d'octroyer une autorisation de séjour au conjoint étranger d'un ressortissant suisse suppose une pesée des intérêts en présence et l'examen de la proportionnalité de la mesure tant en vertu de l'art. 7 al. 1 LSEE que de l'art. 8 § 2 CEDH (ATF 120 Ib 129, cons. 4a et 4b et l'arrêt cité; 122 II 385, cons. 3a). Le résultat de cette pesée des intérêts, dans un tel contexte, n'est pas nécessairement le même que si une expulsion administrative devait être ordonnée. L'étranger expulsé ne peut en effet plus pénétrer sur le territoire suisse, alors que celui à qui l'autorisation de séjour a été refusée conserve cette possibilité. Compte tenu de cette différence dans la gravité de la mesure, on peut concevoir, dans des cas limites, que le refus de l'autorisation de séjour soit admissible alors que l'expulsion serait disproportionnée (ATF 120 Ib 6, cons. 4a, JT 1996 I 295). A cet égard, il convient d'emblée d'observer que le pouvoir d'examen de l'autorité, respectivement du juge administratif, n'est pas limité par le jugement prononcé par l'autorité pénale. Lorsque le juge pénal renonce à ordonner l'expulsion d'un condamné étranger en application de l'art. 55 CP ou l'ordonne, comme en l'occurrence, en l'assortissant d'un sursis, les autorités de police des étrangers conservent le droit de prononcer l'expulsion administrative; elles peuvent donc se montrer plus sévères et décider indépendamment de l'appréciation de celui-ci (ATF 125 IV 1, cons. 5b; 124 II 289, cons. 3a; 122 II 433, cons. 2b; 114 Ib 1, cons. 3a, JT 1990 I 239). En effet, les deux mesures ne poursuivent pas les mêmes objectifs et sont fondées sur des considérations différentes. Le juge pénal a en vue la sanction et l'amendement du coupable et sa décision est dictée en premier lieu par des considérations tirées des chances de resocialisation de l'intéressé; il compare en principe les chances de réintégration du condamné en Suisse et dans son pays d'origine (ATF 122 IV 56, cons. 3a). L'autorité administrative, en revanche, est mue par le souci d'assurer l'ordre et la sécurité publics contre les agissements d'un étranger qui, par son comportement, s'est rendu indigne de l'hospitalité helvétique (cf. ATF 120 Ib 129, cons. 5b; JAAC 62.1, cons. 8). Dans la pesée des intérêts, l'autorité de police des étrangers peut certes tenir compte de la question de la resocialisation de l'étranger et de ses chances concrètes d'amendement, mais ces éléments ne sauraient être à eux seuls déterminants (ATF 125 II 105, cons. 2c; 122 II 433, cons. 2b; A. Wurzburger, La jurisprudence récente du Tribunal fédéral en matière de police des étrangers, RDAF 1997 I 267, p. 310). b) La Haute Cour a déjà eu l'occasion de préciser que lorsque le refus d'octroyer une autorisation de séjour se fondait sur la commission d'une infraction, la peine infligée par le juge pénal était le premier critère à prendre en considération pour évaluer la gravité de la faute et procéder à la pesée des intérêts (cf. notamment ATF 120 Ib 6, cons. 4b; ATF non publiés 2A.326/2000 du 30 octobre 2000, cons. 3b et, plus récemment, 2A.203/2001 du 13 juillet 2001, cons. 3b). A côté des infractions commises, on prendra également en considération le comportement général de l'intéressé sur le plan privé et professionnel, comme dans la vie quotidienne (A. Wurzburger, op. cit., p. 309). La durée du séjour en Suisse est également un élément important. En principe, plus elle est longue, plus l'autorité doit faire preuve de retenue dans le prononcé d'une expulsion administrative (ATF 125 II 521, cons. 2b; 122 II 433, cons. 2c). Il faut également tenir compte de l'âge auquel l'étranger est arrivé dans notre pays ainsi que de son degré d'intégration (mêmes arrêts). Il convient en outre d'examiner si l'on peut exiger des membres de la famille qui ont un droit de présence en Suisse qu'ils suivent l'étranger dont la délivrance de l'autorisation de séjour est refusée. Pour trancher cette question, l'autorité ne doit pas statuer en fonction des convenances personnelles des intéressés, mais prendre objectivement en considération leur situation personnelle et l'ensemble des circonstances (ATF 110 Ib 201, cons. 2a, JT 1985 I 600 (rés); 116 Ib 353, cons. 3b, JT 1992 I 239; 122 II 1, cons. 2). Lorsqu'il s'agit de relations familiales entre époux, les circonstances du mariage ont également leur importance pour trancher la question de l'exigibilité du départ. Si le conjoint suisse connaît, au moment du mariage, l'existence de motifs susceptibles d'amener les autorités de police des étrangers à refuser à son conjoint la délivrance d'une autorisation, il ne peut pas exclure l'éventualité de devoir vivre sa vie de couple à l'étranger (ATF 116 Ib 353, cons. 3e et 3f précité). Dans tous les cas, l'exigibilité du départ des membres de la famille de l'étranger doit être d'autant plus facilement admise que le comportement de l'étranger en Suisse rend sa présence indésirable (ATF 116 Ib 353, cons. 3d, JT 1992 I 239). c) Ces critères rejoignent ceux que la Cour européenne des droits de l'homme a récemment posés dans l'arrêt du 2 août 2001 (Boutif c. Suisse). Outre ces éléments, l'autorité précitée tient encore compte de la période qui s'est écoulée depuis la commission de l'infraction ainsi que de la conduite de l'intéressé durant cette période, de la nationalité des diverses personnes concernées, de la situation familiale du requérant, par exemple la durée de son mariage, et d'autres éléments dénotant le caractère effectif de la vie familiale d'un couple, ainsi, naturellement, que de la naissance d'enfants légitimes et, le cas échéant, de leur âge. Mais la Cour ajoute que le simple fait qu'une personne risque de se heurter à des difficultés en accompagnant son conjoint dans son pays d'origine ne saurait en soi exclure une expulsion (chiffre 48 de l'arrêt susmentionné). d) Cela étant précisé, il convient de souligner que le Tribunal fédéral fait montre d'une sévérité particulière et constante en matière de trafic de stupéfiants (cf. ATF 125 II 521, cons. 4a/aa et Wurzburger, op. cit., p. 308). Il a admis à plusieurs reprises qu'une condamnation à deux ans de privation de liberté constituait la limite à partir de laquelle, en général, il y avait lieu de refuser l'autorisation de séjour quand il s'agissait d'une demande d'autorisation initiale ou d'une requête de prolongation d'autorisation déposée après un séjour de courte durée (ATF 120 Ib 6, cons. 4b, JT 1996 I 295 et l'arrêt cité). Ce principe vaut même lorsqu'on ne peut pas - ou difficilement - exiger de l'épouse de l'étranger qu'elle quitte la Suisse, ce qui empêche de fait les conjoints de vivre ensemble d'une manière ininterrompue. Dans un tel cas, admet l'autorité susmentionnée, l'intérêt public à l'éloignement de l'étranger l'emporte normalement sur son intérêt privé - et celui de sa famille - à pouvoir rester en Suisse (ATF 120 Ib 129, cons. 4a; 122 II 385, cons. 3a; ATF non publié 2A.203/2001 précité). Le Tribunal de céans a lui aussi toujours fait preuve d'une sévérité particulière dans la pesée des intérêts à l'égard des étrangers condamnés pénalement en matière de stupéfiants, en particulier lorsque la peine atteignait ou excédait cette durée de deux ans (cf. notamment arrêts PE 1996/0706 du 29 juillet 1997 confirmé par ATF 2A.399/1997 du 22 décembre 1997; PE 1997/0136 du 8 septembre 1997; PE 1996/0623 du 15 septembre 1997; PE 1998/0114 du 31 mars 1998 confirmé par ATF 2A.182/1998 du 4 mai 1998; PE 2000/0410 du 27 novembre 2000; arrêt TA 2001/0357 du 28 novembre 2001 confirmé par ATF 2A.23/2002 du 8 avril 2002). Cette rigueur est d'ailleurs partagée par la Cour européenne des droits de l'homme, qui a eu elle-même l'occasion de relever que : " au vu des ravages de la drogue dans la population, et spécialement parmi les jeunes, il se conçoit sans peine que les autorités fassent preuve d'une grande fermeté à l'égard de ceux qui contribuent activement à la propagation du fléau " (arrêt C. c. Belgique du 7 août 1996, Recueil des arrêts et décisions 1996-III, ch. 35 p. 925). 8.                     En l'espèce, X.________ a fait l'objet le 6 août 1992 d'une sentence judiciaire de culpabilité pour "crime et délit" (recel, blanchiment d'argent et infraction grave à la LStup) entraînant une peine privative de liberté de cinq ans ferme. Il réalise donc manifestement le motif d'expulsion de l'art. 10 al. 1 lit. a LSEE (cf. ATF 125 II 521, cons. 3). Il importe peu de savoir si, en outre, sa conduite dans son ensemble et ses actes permettent de conclure qu'il ne veut pas s'adapter à l'ordre établi en Suisse ou qu'il n'en est pas capable (art. 10 al. 1 lit. b LSEE). De même, il n'est pas nécessaire d'examiner si, par manque de revenus suffisants, il y aurait un risque qu'il tombe avec son épouse de manière continue et dans une large mesure à la charge de l'assistance publique (art. 10 al. 1 lit. d LSEE). C'est principalement en raison d'un important trafic de stupéfiants, portant sur plus de 2 kg de cocaïne pure, que le recourant a été si sévèrement condamné. Il a agi par bande et par métier et par pur appât du gain. Il ne pouvait invoquer avoir agi pour assurer sa propre consommation puisqu'il n'était pas dépendant de la drogue. A suivre le jugement pénal du 6 août 2002, seule son arrestation le 22 septembre 2000 a permis de mettre un terme à une activité délictueuse qui a duré près de deux mois. La gravité des délits commis est ainsi indéniable. Or, il n'est pas contestable que la protection de la collectivité publique face au développement du marché de la drogue constitue un intérêt public prépondérant justifiant l'éloignement de Suisse d'une étranger qui s'est rendu, comme en l'espèce, coupable d'infraction grave à la loi sur les stupéfiants. Les étrangers qui sont mêlés au commerce des stupéfiants doivent donc s'attendre à faire l'objet de mesures d'éloignement (cf. parmi d'autres, ATF non publié 2A.522/1997 du 26 février 1998, cons. 5b, confirmé par la suite). Il n'est pas encore possible aujourd'hui, notamment au vu du fait que l'activité délictueuse du recourant n'a pu être maîtrisée que par son incarcération à titre préventif, de considérer que tout risque de récidive est désormais exclu. Le temps qui s'est écoulé entre sa libération conditionnelle intervenue le 21 janvier 2004 et ce jour est manifestement beaucoup trop court pour en déduire qu'il s'est définitivement amendé, bien que son comportement carcéral ait été jugé bon (dans le même sens ATF non publié 2A.262/2001 du 22 août 2001, cons. 2b, où plus d'une année s'était écoulée). Par ailleurs, le fait qu'il séjourne en Suisse depuis le mois de mars 1998 – soit depuis six ans dont plus de trois années passées en détention (incarcération le 22 septembre 2000 et libération conditionnelle le 24 janvier 2004) - n'est pas déterminant puisque le Tribunal fédéral a déjà admis l'expulsion d'un étranger titulaire d'une autorisation d'établissement, condamné à trois ans d'emprisonnement pour trafic de stupéfiants, qui était en Suisse depuis plus de dix ans (ATF non publié du 15 janvier 1997 dans la cause H c. CE genevois). En outre, l'intéressé n'est arrivé en Suisse qu'à l'âge de 18 ans et a donc passé toute sa jeunesse, son adolescence et une partie de sa vie d'adulte dans son pays d'origine. Or, c'est durant cette période de la vie que se forge la personnalité et l'attachement socio-culturel à un pays (dans le même sens, ATF non publié 2A.203/2001 précité). 9.                     Les attaches personnelles du recourant avec la Suisse ne consistent par conséquent à l'évidence que dans la relation qu'il entretient avec son épouse, relation qui semble avoir survécu à sa condamnation et à sa longue période d'incarcération, et avec sa fille, née le 18 octobre 2000. Cette union, célébrée le 26 mai 2003, étant intervenue postérieurement à l'activité délictuelle du recourant et à la condamnation de son mari, Lucie Y.________-Goël avait toutes les raisons d'envisager au moment du mariage l'éventualité de devoir aller vivre un jour sa vie de couple à l'étranger, en l'occurrence en Colombie. Il est certes vrai que l'on peut difficilement exiger qu'elle le fasse aujourd'hui. Cependant, dans l'arrêt Boutif du 2 août 2001déjà cité, la Cour européenne des droits de l'homme a admis que le simple fait que l'épouse du requérant se heurte à des difficultés en accompagnant son conjoint dans son pays d'origine ne permettait pas en soi d'exclure son expulsion, respectivement le non-renouvellement de son autorisation de séjour. L'exigibilité du départ n'est en effet qu'un élément parmi d'autres à prendre en considération dans la balance des intérêts (cf. également ATF non publié 2A.262/2001 du 22 août 2001, cons. 2c/bb, qui reprend ces principes). Cela étant, on pourrait raisonnablement se poser la question d'un départ du couple et de leur enfant vers la Colombie. Cette question, qui n'est pas à elle seule déterminante, peut toutefois rester indécise. Il importe en effet peu que le départ du recourant s'avère lourd de conséquences pour son épouse et sa fille, qu'elles le suivent ou non à l'étranger, puisque le refus de son autorisation de séjour ne signifie pas la rupture complète des contacts avec son épouse et son enfant. La relation conjugale pourrait en effet être maintenue par des visites réciproques, notamment à l'occasion de voyages touristiques, puisque le recourant n'a pas fait l'objet d'une expulsion administrative, mais simplement d'un refus de délivrance d'une autorisation de séjour (dans ce sens, notamment ATF non publiés 2A.326/2000 du 30 octobre 2000, cons. 3c; 2A. 210/2000 du 6 novembre 2000, cons. 6c et 2A.203/2001 du 13 juillet 2001, cons. 3c; cf. ég. ATF 120 Ib 1, cons. 3a). Le Tribunal fédéral n'a d'ailleurs pas hésité à confirmer le renvoi de Suisse d'un étranger âgé de 28 ans, entré en Suisse en 1991, marié à une Suissesse et ayant été condamné à des peines totalisant 30 mois de prison ferme pour des actes indépendants d'un trafic de stupéfiants (ATF non publié 2A.262/2001 du 22 août 2001 déjà cité). En d'autres termes, en refusant de délivrer une autorisation de séjour en faveur du recourant, l'autorité intimée n'empêche pas toute poursuite des relations familiales que celui-ci entretient avec son épouse et sa fille, mais elle les complique indubitablement. Cette ingérence dans le droit garanti par l'art. 8 § 1 CEDH reste toutefois parfaitement admissible par rapport à l'art. 8 § 2 CEDH compte tenu de la gravité du danger que représente pour l'ordre et la sécurité publics celui qui, comme le recourant, s'est livré au trafic de stupéfiants. Il faut considérer que l'intérêt public à éloigner X.________ l'emporte manifestement sur son intérêt privé et celui de son épouse et de sa fille à vivre ensemble dans notre pays, même si le lien conjugal paraît concret et que la relation familiale semble être sérieusement vécue. Le fait que l'intéressé bénéficie d'un emploi, apparemment de durée indéterminée, depuis le 29 août 2003 importe peu puisque cet élément, qui ressortit aux chances de resocialisation du recourant, n'est pas déterminant pour l'autorité de police des étrangers (cf. supra cons. 5b). Le SPOP a donc procédé à une pesée des intérêts qui n'est pas critiquable. 10.                   Sous l'angle de l'art. 8 § 2 CEDH, respectivement des art. 13 et 36 Cst, il faut par conséquent constater que la décision attaquée, fondée sur l'art. 10 LSEE, repose sur une base légale au sens formel. Elle tend à sauvegarder l'ordre et la sécurité publics et, vu le risque de récidive qu'on ne peut raisonnablement écarter pour l'instant, à prévenir la commission de nouvelles infractions pénales. Elle poursuit donc des intérêts publics légitimes. Enfin, au terme de la balance des intérêts qui vient d'être faite, elle s'avère proportionnée à l'ensemble des circonstances, de sorte qu'elle est pleinement conforme au droit conventionnel, respectivement au droit constitutionnel. Il ne faut d'ailleurs pas perdre de vue que le recourant n'est pas né en Suisse et qu'il ne peut pas être traité avec la clémence que pourrait revendiquer un étranger dit de la deuxième génération (cf. ATF 125 II 521, cons. 4b). 11.                   En conclusion, le recours doit être rejeté. X.________ ayant satisfait à la justice pénale vaudoise, un nouveau délai de départ doit lui être imparti pour quitter le territoire vaudois (art. 12 al. 3 LSEE). Vu l'issue du pourvoi, les frais du présent arrêt seront mis à la charge du recourant qui, pour la même raison et faute d'avoir procédé par l'intermédiaire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