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PE.2003.0289 vom 3. September 2003</w:t>
      </w:r>
    </w:p>
    <w:p>
      <w:r>
        <w:t>VD Tribunal cantonal, 2003-09-03, FR</w:t>
      </w:r>
    </w:p>
    <w:p>
      <w:r>
        <w:rPr>
          <w:b/>
        </w:rPr>
        <w:t xml:space="preserve">Quelle: </w:t>
      </w:r>
      <w:r>
        <w:t>https://mcp.opencaselaw.ch/entscheid/vd_omni_PE.2003.0289</w:t>
      </w:r>
    </w:p>
    <w:p>
      <w:r>
        <w:t>FR: VD_OMNI PE.2003.0289 du 3 septembre 2003</w:t>
      </w:r>
    </w:p>
    <w:p>
      <w:r>
        <w:t>IT: VD_OMNI PE.2003.0289 del 3 settembre 2003</w:t>
      </w:r>
    </w:p>
    <w:p>
      <w:pPr>
        <w:pStyle w:val="Heading2"/>
      </w:pPr>
      <w:r>
        <w:t>Regeste</w:t>
      </w:r>
    </w:p>
    <w:p>
      <w:r>
        <w:t>c/SPOP, division asile | La lettre du SPOP refusant de réexaminer sa correspondance antérieure, qui n'avait pas la portée d'une décision au sens de l'art. 29 LJPA, ne saurait pas non plus avoir la portée d'une décision susceptible de recours. Recours irrecevable.</w:t>
      </w:r>
    </w:p>
    <w:p>
      <w:pPr>
        <w:pStyle w:val="Heading2"/>
      </w:pPr>
      <w:r>
        <w:t>Erwägungen</w:t>
      </w:r>
    </w:p>
    <w:p>
      <w:r>
        <w:rPr>
          <w:b/>
        </w:rPr>
        <w:t>E. 3</w:t>
      </w:r>
    </w:p>
    <w:p>
      <w:r>
        <w:t>LJPA), que, vu l'issue du pourvoi, les recourants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